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A59" w:rsidRDefault="00882A59">
      <w:pPr>
        <w:pStyle w:val="Title"/>
        <w:rPr>
          <w:color w:val="333333"/>
        </w:rPr>
      </w:pPr>
    </w:p>
    <w:p w:rsidR="00882A59" w:rsidRDefault="00882A59">
      <w:pPr>
        <w:pStyle w:val="Title"/>
        <w:rPr>
          <w:color w:val="333333"/>
        </w:rPr>
      </w:pPr>
    </w:p>
    <w:p w:rsidR="00882A59" w:rsidRPr="00C60E82" w:rsidRDefault="00B80647">
      <w:pPr>
        <w:pStyle w:val="Title"/>
        <w:rPr>
          <w:color w:val="404040" w:themeColor="text1" w:themeTint="BF"/>
        </w:rPr>
      </w:pPr>
      <w:r>
        <w:rPr>
          <w:color w:val="404040" w:themeColor="text1" w:themeTint="BF"/>
        </w:rPr>
        <w:t xml:space="preserve">Right to Lift </w:t>
      </w:r>
    </w:p>
    <w:p w:rsidR="00882A59" w:rsidRPr="00C60E82" w:rsidRDefault="00882A59">
      <w:pPr>
        <w:pStyle w:val="Title"/>
        <w:rPr>
          <w:color w:val="404040" w:themeColor="text1" w:themeTint="BF"/>
        </w:rPr>
      </w:pPr>
    </w:p>
    <w:p w:rsidR="004C3586" w:rsidRPr="00C60E82" w:rsidRDefault="004C3586">
      <w:pPr>
        <w:pStyle w:val="Title"/>
        <w:rPr>
          <w:color w:val="404040" w:themeColor="text1" w:themeTint="BF"/>
        </w:rPr>
      </w:pPr>
    </w:p>
    <w:p w:rsidR="004C3586" w:rsidRPr="00C60E82" w:rsidRDefault="004C3586">
      <w:pPr>
        <w:pStyle w:val="Title"/>
        <w:rPr>
          <w:color w:val="404040" w:themeColor="text1" w:themeTint="BF"/>
        </w:rPr>
      </w:pPr>
    </w:p>
    <w:p w:rsidR="00882A59" w:rsidRPr="00C60E82" w:rsidRDefault="00882A59">
      <w:pPr>
        <w:pStyle w:val="Title"/>
        <w:rPr>
          <w:color w:val="404040" w:themeColor="text1" w:themeTint="BF"/>
        </w:rPr>
      </w:pPr>
    </w:p>
    <w:p w:rsidR="00882A59" w:rsidRPr="00C60E82" w:rsidRDefault="00882A59">
      <w:pPr>
        <w:pStyle w:val="Title"/>
        <w:rPr>
          <w:color w:val="404040" w:themeColor="text1" w:themeTint="BF"/>
        </w:rPr>
      </w:pPr>
    </w:p>
    <w:p w:rsidR="007D1584" w:rsidRPr="00C60E82" w:rsidRDefault="00B80647">
      <w:pPr>
        <w:pStyle w:val="Title"/>
        <w:rPr>
          <w:color w:val="404040" w:themeColor="text1" w:themeTint="BF"/>
        </w:rPr>
      </w:pPr>
      <w:r>
        <w:rPr>
          <w:color w:val="404040" w:themeColor="text1" w:themeTint="BF"/>
        </w:rPr>
        <w:t xml:space="preserve">Usage of Right to Lift Data </w:t>
      </w:r>
      <w:r w:rsidR="007D1584" w:rsidRPr="00C60E82">
        <w:rPr>
          <w:color w:val="404040" w:themeColor="text1" w:themeTint="BF"/>
        </w:rPr>
        <w:t>Exchange Standards</w:t>
      </w:r>
      <w:r w:rsidR="004C3586" w:rsidRPr="00C60E82">
        <w:rPr>
          <w:color w:val="404040" w:themeColor="text1" w:themeTint="BF"/>
        </w:rPr>
        <w:t xml:space="preserve"> for</w:t>
      </w:r>
      <w:r w:rsidR="007D1584" w:rsidRPr="00C60E82">
        <w:rPr>
          <w:color w:val="404040" w:themeColor="text1" w:themeTint="BF"/>
        </w:rPr>
        <w:t xml:space="preserve"> </w:t>
      </w:r>
    </w:p>
    <w:p w:rsidR="00882A59" w:rsidRPr="00C60E82" w:rsidRDefault="007D1584">
      <w:pPr>
        <w:pStyle w:val="Title"/>
        <w:rPr>
          <w:color w:val="404040" w:themeColor="text1" w:themeTint="BF"/>
        </w:rPr>
      </w:pPr>
      <w:r w:rsidRPr="00C60E82">
        <w:rPr>
          <w:color w:val="404040" w:themeColor="text1" w:themeTint="BF"/>
        </w:rPr>
        <w:t>Downstream Europe Road</w:t>
      </w:r>
      <w:r w:rsidR="00EB5897" w:rsidRPr="00C60E82">
        <w:rPr>
          <w:color w:val="404040" w:themeColor="text1" w:themeTint="BF"/>
        </w:rPr>
        <w:t xml:space="preserve"> Transport Fuels Movements</w:t>
      </w:r>
    </w:p>
    <w:p w:rsidR="00882A59" w:rsidRDefault="00882A59">
      <w:pPr>
        <w:rPr>
          <w:color w:val="333333"/>
        </w:rPr>
      </w:pPr>
    </w:p>
    <w:p w:rsidR="00882A59" w:rsidRDefault="00882A59">
      <w:pPr>
        <w:rPr>
          <w:color w:val="333333"/>
        </w:rPr>
      </w:pPr>
    </w:p>
    <w:p w:rsidR="00882A59" w:rsidRDefault="00882A59">
      <w:pPr>
        <w:rPr>
          <w:color w:val="333333"/>
        </w:rPr>
      </w:pPr>
    </w:p>
    <w:p w:rsidR="00882A59" w:rsidRDefault="00882A59">
      <w:pPr>
        <w:rPr>
          <w:color w:val="333333"/>
        </w:rPr>
      </w:pPr>
    </w:p>
    <w:p w:rsidR="004C3586" w:rsidRDefault="004C3586">
      <w:pPr>
        <w:rPr>
          <w:color w:val="333333"/>
        </w:rPr>
      </w:pPr>
    </w:p>
    <w:p w:rsidR="004C3586" w:rsidRDefault="004C3586">
      <w:pPr>
        <w:rPr>
          <w:color w:val="333333"/>
        </w:rPr>
      </w:pPr>
    </w:p>
    <w:p w:rsidR="00882A59" w:rsidRDefault="00882A59">
      <w:pPr>
        <w:rPr>
          <w:color w:val="333333"/>
        </w:rPr>
      </w:pPr>
    </w:p>
    <w:p w:rsidR="00882A59" w:rsidRDefault="00882A59">
      <w:pPr>
        <w:rPr>
          <w:color w:val="333333"/>
        </w:rPr>
      </w:pPr>
    </w:p>
    <w:p w:rsidR="00167B49" w:rsidRDefault="00167B49">
      <w:pPr>
        <w:rPr>
          <w:color w:val="333333"/>
        </w:rPr>
      </w:pPr>
    </w:p>
    <w:p w:rsidR="00167B49" w:rsidRDefault="00167B49" w:rsidP="00167B49">
      <w:pPr>
        <w:jc w:val="center"/>
        <w:rPr>
          <w:color w:val="333333"/>
        </w:rPr>
      </w:pPr>
      <w:r>
        <w:rPr>
          <w:noProof/>
          <w:color w:val="333333"/>
        </w:rPr>
        <w:drawing>
          <wp:anchor distT="0" distB="0" distL="0" distR="0" simplePos="0" relativeHeight="251658240" behindDoc="0" locked="0" layoutInCell="1" allowOverlap="0" wp14:anchorId="2A4E49E6" wp14:editId="1875B3A1">
            <wp:simplePos x="0" y="0"/>
            <wp:positionH relativeFrom="column">
              <wp:posOffset>1707515</wp:posOffset>
            </wp:positionH>
            <wp:positionV relativeFrom="line">
              <wp:posOffset>-1905</wp:posOffset>
            </wp:positionV>
            <wp:extent cx="2192655" cy="1135380"/>
            <wp:effectExtent l="19050" t="0" r="0" b="0"/>
            <wp:wrapSquare wrapText="bothSides"/>
            <wp:docPr id="1" name="Picture 2" descr="Petroleum Industry Data Exchange (PID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oleum Industry Data Exchange (PIDX)"/>
                    <pic:cNvPicPr>
                      <a:picLocks noChangeAspect="1" noChangeArrowheads="1"/>
                    </pic:cNvPicPr>
                  </pic:nvPicPr>
                  <pic:blipFill>
                    <a:blip r:embed="rId9" cstate="print"/>
                    <a:srcRect/>
                    <a:stretch>
                      <a:fillRect/>
                    </a:stretch>
                  </pic:blipFill>
                  <pic:spPr bwMode="auto">
                    <a:xfrm>
                      <a:off x="0" y="0"/>
                      <a:ext cx="2192655" cy="1135380"/>
                    </a:xfrm>
                    <a:prstGeom prst="rect">
                      <a:avLst/>
                    </a:prstGeom>
                    <a:noFill/>
                    <a:ln w="9525">
                      <a:noFill/>
                      <a:miter lim="800000"/>
                      <a:headEnd/>
                      <a:tailEnd/>
                    </a:ln>
                  </pic:spPr>
                </pic:pic>
              </a:graphicData>
            </a:graphic>
          </wp:anchor>
        </w:drawing>
      </w:r>
    </w:p>
    <w:p w:rsidR="00167B49" w:rsidRDefault="00167B49">
      <w:pPr>
        <w:rPr>
          <w:color w:val="333333"/>
        </w:rPr>
      </w:pPr>
    </w:p>
    <w:p w:rsidR="00167B49" w:rsidRDefault="00167B49" w:rsidP="00167B49">
      <w:pPr>
        <w:jc w:val="center"/>
        <w:rPr>
          <w:color w:val="333333"/>
        </w:rPr>
      </w:pPr>
    </w:p>
    <w:p w:rsidR="00167B49" w:rsidRDefault="00167B49">
      <w:pPr>
        <w:rPr>
          <w:color w:val="333333"/>
        </w:rPr>
      </w:pPr>
    </w:p>
    <w:p w:rsidR="00167B49" w:rsidRDefault="00167B49">
      <w:pPr>
        <w:rPr>
          <w:color w:val="333333"/>
        </w:rPr>
      </w:pPr>
    </w:p>
    <w:p w:rsidR="00167B49" w:rsidRDefault="00167B49">
      <w:pPr>
        <w:rPr>
          <w:color w:val="333333"/>
        </w:rPr>
      </w:pPr>
    </w:p>
    <w:p w:rsidR="00167B49" w:rsidRDefault="00167B49">
      <w:pPr>
        <w:rPr>
          <w:color w:val="333333"/>
        </w:rPr>
      </w:pPr>
    </w:p>
    <w:p w:rsidR="00167B49" w:rsidRDefault="00167B49">
      <w:pPr>
        <w:rPr>
          <w:color w:val="333333"/>
        </w:rPr>
      </w:pPr>
    </w:p>
    <w:p w:rsidR="00167B49" w:rsidRDefault="00167B49">
      <w:pPr>
        <w:rPr>
          <w:color w:val="333333"/>
        </w:rPr>
      </w:pPr>
    </w:p>
    <w:p w:rsidR="00167B49" w:rsidRDefault="00167B49">
      <w:pPr>
        <w:rPr>
          <w:color w:val="333333"/>
        </w:rPr>
      </w:pPr>
    </w:p>
    <w:p w:rsidR="00882A59" w:rsidRDefault="00882A59">
      <w:pPr>
        <w:rPr>
          <w:color w:val="333333"/>
        </w:rPr>
      </w:pPr>
    </w:p>
    <w:p w:rsidR="00F8501F" w:rsidRDefault="00F8501F">
      <w:pPr>
        <w:spacing w:before="0"/>
        <w:rPr>
          <w:b/>
          <w:color w:val="404040" w:themeColor="text1" w:themeTint="BF"/>
          <w:sz w:val="32"/>
          <w:lang w:val="fr-FR"/>
        </w:rPr>
      </w:pPr>
      <w:r>
        <w:rPr>
          <w:color w:val="404040" w:themeColor="text1" w:themeTint="BF"/>
          <w:sz w:val="32"/>
          <w:lang w:val="fr-FR"/>
        </w:rPr>
        <w:br w:type="page"/>
      </w:r>
    </w:p>
    <w:p w:rsidR="00882A59" w:rsidRPr="00C60E82" w:rsidRDefault="00EB5897">
      <w:pPr>
        <w:pStyle w:val="TableHeader"/>
        <w:rPr>
          <w:rFonts w:ascii="Arial" w:hAnsi="Arial" w:cs="Arial"/>
          <w:color w:val="404040" w:themeColor="text1" w:themeTint="BF"/>
          <w:sz w:val="32"/>
          <w:lang w:val="fr-FR"/>
        </w:rPr>
      </w:pPr>
      <w:r w:rsidRPr="00C60E82">
        <w:rPr>
          <w:rFonts w:ascii="Arial" w:hAnsi="Arial" w:cs="Arial"/>
          <w:color w:val="404040" w:themeColor="text1" w:themeTint="BF"/>
          <w:sz w:val="32"/>
          <w:lang w:val="fr-FR"/>
        </w:rPr>
        <w:lastRenderedPageBreak/>
        <w:t xml:space="preserve">Document </w:t>
      </w:r>
      <w:r w:rsidRPr="00C60E82">
        <w:rPr>
          <w:rFonts w:ascii="Arial" w:hAnsi="Arial" w:cs="Arial"/>
          <w:color w:val="404040" w:themeColor="text1" w:themeTint="BF"/>
          <w:sz w:val="32"/>
        </w:rPr>
        <w:t>Properties</w:t>
      </w:r>
    </w:p>
    <w:tbl>
      <w:tblPr>
        <w:tblW w:w="0" w:type="auto"/>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1548"/>
        <w:gridCol w:w="7308"/>
      </w:tblGrid>
      <w:tr w:rsidR="00882A59" w:rsidRPr="00C60E82">
        <w:tc>
          <w:tcPr>
            <w:tcW w:w="1548" w:type="dxa"/>
            <w:tcBorders>
              <w:top w:val="single" w:sz="4" w:space="0" w:color="333333"/>
              <w:left w:val="single" w:sz="4" w:space="0" w:color="333333"/>
              <w:bottom w:val="single" w:sz="4" w:space="0" w:color="333333"/>
              <w:right w:val="single" w:sz="4" w:space="0" w:color="333333"/>
            </w:tcBorders>
          </w:tcPr>
          <w:p w:rsidR="00882A59" w:rsidRPr="00C60E82" w:rsidRDefault="00EB5897">
            <w:pPr>
              <w:pStyle w:val="TableHeader"/>
              <w:rPr>
                <w:rFonts w:ascii="Arial" w:hAnsi="Arial" w:cs="Arial"/>
                <w:color w:val="404040" w:themeColor="text1" w:themeTint="BF"/>
                <w:lang w:val="fr-FR"/>
              </w:rPr>
            </w:pPr>
            <w:r w:rsidRPr="00C60E82">
              <w:rPr>
                <w:rFonts w:ascii="Arial" w:hAnsi="Arial" w:cs="Arial"/>
                <w:color w:val="404040" w:themeColor="text1" w:themeTint="BF"/>
                <w:lang w:val="fr-FR"/>
              </w:rPr>
              <w:t>Version</w:t>
            </w:r>
          </w:p>
        </w:tc>
        <w:tc>
          <w:tcPr>
            <w:tcW w:w="7308" w:type="dxa"/>
            <w:tcBorders>
              <w:top w:val="single" w:sz="4" w:space="0" w:color="333333"/>
              <w:left w:val="single" w:sz="4" w:space="0" w:color="333333"/>
              <w:bottom w:val="single" w:sz="4" w:space="0" w:color="333333"/>
              <w:right w:val="single" w:sz="4" w:space="0" w:color="333333"/>
            </w:tcBorders>
          </w:tcPr>
          <w:p w:rsidR="00882A59" w:rsidRPr="00C60E82" w:rsidRDefault="00F8501F" w:rsidP="00384F4F">
            <w:pPr>
              <w:rPr>
                <w:color w:val="404040" w:themeColor="text1" w:themeTint="BF"/>
              </w:rPr>
            </w:pPr>
            <w:r>
              <w:rPr>
                <w:color w:val="404040" w:themeColor="text1" w:themeTint="BF"/>
              </w:rPr>
              <w:t>1.0</w:t>
            </w:r>
          </w:p>
        </w:tc>
      </w:tr>
      <w:tr w:rsidR="00882A59" w:rsidRPr="00C60E82">
        <w:tc>
          <w:tcPr>
            <w:tcW w:w="1548" w:type="dxa"/>
            <w:tcBorders>
              <w:top w:val="single" w:sz="4" w:space="0" w:color="333333"/>
              <w:left w:val="single" w:sz="4" w:space="0" w:color="333333"/>
              <w:bottom w:val="single" w:sz="4" w:space="0" w:color="333333"/>
              <w:right w:val="single" w:sz="4" w:space="0" w:color="333333"/>
            </w:tcBorders>
          </w:tcPr>
          <w:p w:rsidR="00882A59" w:rsidRPr="00C60E82" w:rsidRDefault="00EB5897">
            <w:pPr>
              <w:pStyle w:val="TableHeader"/>
              <w:rPr>
                <w:rFonts w:ascii="Arial" w:hAnsi="Arial" w:cs="Arial"/>
                <w:color w:val="404040" w:themeColor="text1" w:themeTint="BF"/>
              </w:rPr>
            </w:pPr>
            <w:r w:rsidRPr="00C60E82">
              <w:rPr>
                <w:rFonts w:ascii="Arial" w:hAnsi="Arial" w:cs="Arial"/>
                <w:color w:val="404040" w:themeColor="text1" w:themeTint="BF"/>
              </w:rPr>
              <w:t>Last Update</w:t>
            </w:r>
          </w:p>
        </w:tc>
        <w:tc>
          <w:tcPr>
            <w:tcW w:w="7308" w:type="dxa"/>
            <w:tcBorders>
              <w:top w:val="single" w:sz="4" w:space="0" w:color="333333"/>
              <w:left w:val="single" w:sz="4" w:space="0" w:color="333333"/>
              <w:bottom w:val="single" w:sz="4" w:space="0" w:color="333333"/>
              <w:right w:val="single" w:sz="4" w:space="0" w:color="333333"/>
            </w:tcBorders>
          </w:tcPr>
          <w:p w:rsidR="00882A59" w:rsidRPr="00C60E82" w:rsidRDefault="00F8501F" w:rsidP="00F8501F">
            <w:pPr>
              <w:rPr>
                <w:color w:val="404040" w:themeColor="text1" w:themeTint="BF"/>
              </w:rPr>
            </w:pPr>
            <w:r>
              <w:rPr>
                <w:color w:val="404040" w:themeColor="text1" w:themeTint="BF"/>
              </w:rPr>
              <w:t>20-March-2013</w:t>
            </w:r>
          </w:p>
        </w:tc>
      </w:tr>
      <w:tr w:rsidR="00882A59" w:rsidRPr="00C60E82">
        <w:tc>
          <w:tcPr>
            <w:tcW w:w="1548" w:type="dxa"/>
            <w:tcBorders>
              <w:top w:val="single" w:sz="4" w:space="0" w:color="333333"/>
              <w:left w:val="single" w:sz="4" w:space="0" w:color="333333"/>
              <w:bottom w:val="single" w:sz="4" w:space="0" w:color="333333"/>
              <w:right w:val="single" w:sz="4" w:space="0" w:color="333333"/>
            </w:tcBorders>
          </w:tcPr>
          <w:p w:rsidR="00882A59" w:rsidRPr="00C60E82" w:rsidRDefault="00EB5897">
            <w:pPr>
              <w:pStyle w:val="TableHeader"/>
              <w:rPr>
                <w:rFonts w:ascii="Arial" w:hAnsi="Arial" w:cs="Arial"/>
                <w:color w:val="404040" w:themeColor="text1" w:themeTint="BF"/>
              </w:rPr>
            </w:pPr>
            <w:r w:rsidRPr="00C60E82">
              <w:rPr>
                <w:rFonts w:ascii="Arial" w:hAnsi="Arial" w:cs="Arial"/>
                <w:color w:val="404040" w:themeColor="text1" w:themeTint="BF"/>
              </w:rPr>
              <w:t>Prepared by</w:t>
            </w:r>
          </w:p>
        </w:tc>
        <w:tc>
          <w:tcPr>
            <w:tcW w:w="7308" w:type="dxa"/>
            <w:tcBorders>
              <w:top w:val="single" w:sz="4" w:space="0" w:color="333333"/>
              <w:left w:val="single" w:sz="4" w:space="0" w:color="333333"/>
              <w:bottom w:val="single" w:sz="4" w:space="0" w:color="333333"/>
              <w:right w:val="single" w:sz="4" w:space="0" w:color="333333"/>
            </w:tcBorders>
          </w:tcPr>
          <w:p w:rsidR="00882A59" w:rsidRPr="00C60E82" w:rsidRDefault="00B80647">
            <w:pPr>
              <w:rPr>
                <w:color w:val="404040" w:themeColor="text1" w:themeTint="BF"/>
              </w:rPr>
            </w:pPr>
            <w:r>
              <w:rPr>
                <w:color w:val="404040" w:themeColor="text1" w:themeTint="BF"/>
              </w:rPr>
              <w:t>Bryan McPadden/Mark Garton</w:t>
            </w:r>
          </w:p>
        </w:tc>
      </w:tr>
      <w:tr w:rsidR="00882A59" w:rsidRPr="00C60E82">
        <w:tc>
          <w:tcPr>
            <w:tcW w:w="1548" w:type="dxa"/>
            <w:tcBorders>
              <w:top w:val="single" w:sz="4" w:space="0" w:color="333333"/>
              <w:left w:val="single" w:sz="4" w:space="0" w:color="333333"/>
              <w:bottom w:val="single" w:sz="4" w:space="0" w:color="333333"/>
              <w:right w:val="single" w:sz="4" w:space="0" w:color="333333"/>
            </w:tcBorders>
          </w:tcPr>
          <w:p w:rsidR="00882A59" w:rsidRPr="00C60E82" w:rsidRDefault="00EB5897">
            <w:pPr>
              <w:pStyle w:val="TableHeader"/>
              <w:rPr>
                <w:rFonts w:ascii="Arial" w:hAnsi="Arial" w:cs="Arial"/>
                <w:color w:val="404040" w:themeColor="text1" w:themeTint="BF"/>
              </w:rPr>
            </w:pPr>
            <w:r w:rsidRPr="00C60E82">
              <w:rPr>
                <w:rFonts w:ascii="Arial" w:hAnsi="Arial" w:cs="Arial"/>
                <w:color w:val="404040" w:themeColor="text1" w:themeTint="BF"/>
              </w:rPr>
              <w:t>Owner</w:t>
            </w:r>
          </w:p>
        </w:tc>
        <w:tc>
          <w:tcPr>
            <w:tcW w:w="7308" w:type="dxa"/>
            <w:tcBorders>
              <w:top w:val="single" w:sz="4" w:space="0" w:color="333333"/>
              <w:left w:val="single" w:sz="4" w:space="0" w:color="333333"/>
              <w:bottom w:val="single" w:sz="4" w:space="0" w:color="333333"/>
              <w:right w:val="single" w:sz="4" w:space="0" w:color="333333"/>
            </w:tcBorders>
          </w:tcPr>
          <w:p w:rsidR="00882A59" w:rsidRPr="00C60E82" w:rsidRDefault="00167B49">
            <w:pPr>
              <w:rPr>
                <w:color w:val="404040" w:themeColor="text1" w:themeTint="BF"/>
              </w:rPr>
            </w:pPr>
            <w:r w:rsidRPr="00C60E82">
              <w:rPr>
                <w:color w:val="404040" w:themeColor="text1" w:themeTint="BF"/>
              </w:rPr>
              <w:t>PIDX International</w:t>
            </w:r>
          </w:p>
        </w:tc>
      </w:tr>
      <w:tr w:rsidR="00882A59" w:rsidRPr="00C60E82">
        <w:tc>
          <w:tcPr>
            <w:tcW w:w="1548" w:type="dxa"/>
            <w:tcBorders>
              <w:top w:val="single" w:sz="4" w:space="0" w:color="333333"/>
              <w:left w:val="single" w:sz="4" w:space="0" w:color="333333"/>
              <w:bottom w:val="single" w:sz="4" w:space="0" w:color="333333"/>
              <w:right w:val="single" w:sz="4" w:space="0" w:color="333333"/>
            </w:tcBorders>
          </w:tcPr>
          <w:p w:rsidR="00882A59" w:rsidRPr="00C60E82" w:rsidRDefault="00EB5897">
            <w:pPr>
              <w:pStyle w:val="TableHeader"/>
              <w:rPr>
                <w:rFonts w:ascii="Arial" w:hAnsi="Arial" w:cs="Arial"/>
                <w:color w:val="404040" w:themeColor="text1" w:themeTint="BF"/>
              </w:rPr>
            </w:pPr>
            <w:r w:rsidRPr="00C60E82">
              <w:rPr>
                <w:rFonts w:ascii="Arial" w:hAnsi="Arial" w:cs="Arial"/>
                <w:color w:val="404040" w:themeColor="text1" w:themeTint="BF"/>
              </w:rPr>
              <w:t>Contact Information</w:t>
            </w:r>
          </w:p>
        </w:tc>
        <w:tc>
          <w:tcPr>
            <w:tcW w:w="7308" w:type="dxa"/>
            <w:tcBorders>
              <w:top w:val="single" w:sz="4" w:space="0" w:color="333333"/>
              <w:left w:val="single" w:sz="4" w:space="0" w:color="333333"/>
              <w:bottom w:val="single" w:sz="4" w:space="0" w:color="333333"/>
              <w:right w:val="single" w:sz="4" w:space="0" w:color="333333"/>
            </w:tcBorders>
          </w:tcPr>
          <w:p w:rsidR="00167B49" w:rsidRDefault="007E66BE" w:rsidP="00167B49">
            <w:pPr>
              <w:rPr>
                <w:color w:val="404040" w:themeColor="text1" w:themeTint="BF"/>
                <w:lang w:val="en-GB"/>
              </w:rPr>
            </w:pPr>
            <w:hyperlink r:id="rId10" w:history="1">
              <w:r w:rsidR="00F8501F" w:rsidRPr="008500EA">
                <w:rPr>
                  <w:rStyle w:val="Hyperlink"/>
                  <w:lang w:val="en-GB"/>
                </w:rPr>
                <w:t>Bryan.McPadden@telventdtn.com</w:t>
              </w:r>
            </w:hyperlink>
          </w:p>
          <w:p w:rsidR="00882A59" w:rsidRDefault="007E66BE">
            <w:pPr>
              <w:rPr>
                <w:color w:val="404040" w:themeColor="text1" w:themeTint="BF"/>
                <w:lang w:val="en-GB"/>
              </w:rPr>
            </w:pPr>
            <w:hyperlink r:id="rId11" w:history="1">
              <w:r w:rsidR="00F8501F" w:rsidRPr="008500EA">
                <w:rPr>
                  <w:rStyle w:val="Hyperlink"/>
                  <w:lang w:val="en-GB"/>
                </w:rPr>
                <w:t>Mark.Garton@telventdtn.com</w:t>
              </w:r>
            </w:hyperlink>
          </w:p>
          <w:p w:rsidR="00F8501F" w:rsidRPr="00F8501F" w:rsidRDefault="00F8501F">
            <w:pPr>
              <w:rPr>
                <w:color w:val="404040" w:themeColor="text1" w:themeTint="BF"/>
                <w:lang w:val="en-GB"/>
              </w:rPr>
            </w:pPr>
          </w:p>
        </w:tc>
      </w:tr>
    </w:tbl>
    <w:p w:rsidR="00167B49" w:rsidRDefault="00167B49">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4C3586" w:rsidRDefault="004C3586">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102C2D" w:rsidRDefault="00102C2D">
      <w:pPr>
        <w:pStyle w:val="ToCTitle"/>
        <w:rPr>
          <w:color w:val="333333"/>
        </w:rPr>
      </w:pPr>
    </w:p>
    <w:p w:rsidR="004C3586" w:rsidRDefault="004C3586">
      <w:pPr>
        <w:pStyle w:val="ToCTitle"/>
        <w:rPr>
          <w:color w:val="333333"/>
        </w:rPr>
      </w:pPr>
    </w:p>
    <w:p w:rsidR="00882A59" w:rsidRPr="00C60E82" w:rsidRDefault="00EB5897">
      <w:pPr>
        <w:pStyle w:val="ToCTitle"/>
        <w:rPr>
          <w:color w:val="404040" w:themeColor="text1" w:themeTint="BF"/>
        </w:rPr>
      </w:pPr>
      <w:r w:rsidRPr="00C60E82">
        <w:rPr>
          <w:color w:val="404040" w:themeColor="text1" w:themeTint="BF"/>
        </w:rPr>
        <w:t>Disclaimer</w:t>
      </w:r>
    </w:p>
    <w:p w:rsidR="00882A59" w:rsidRPr="00C60E82" w:rsidRDefault="00AE2F0A" w:rsidP="00AE2F0A">
      <w:pPr>
        <w:rPr>
          <w:rStyle w:val="Strong"/>
          <w:color w:val="404040" w:themeColor="text1" w:themeTint="BF"/>
        </w:rPr>
      </w:pPr>
      <w:r w:rsidRPr="00C60E82">
        <w:rPr>
          <w:rStyle w:val="Strong"/>
          <w:color w:val="404040" w:themeColor="text1" w:themeTint="BF"/>
        </w:rPr>
        <w:t xml:space="preserve">This </w:t>
      </w:r>
      <w:r w:rsidR="00B80647">
        <w:rPr>
          <w:rStyle w:val="Strong"/>
          <w:color w:val="404040" w:themeColor="text1" w:themeTint="BF"/>
        </w:rPr>
        <w:t xml:space="preserve">document is intended to capture field usage detail about the Right </w:t>
      </w:r>
      <w:proofErr w:type="gramStart"/>
      <w:r w:rsidR="00B80647">
        <w:rPr>
          <w:rStyle w:val="Strong"/>
          <w:color w:val="404040" w:themeColor="text1" w:themeTint="BF"/>
        </w:rPr>
        <w:t>To</w:t>
      </w:r>
      <w:proofErr w:type="gramEnd"/>
      <w:r w:rsidR="00B80647">
        <w:rPr>
          <w:rStyle w:val="Strong"/>
          <w:color w:val="404040" w:themeColor="text1" w:themeTint="BF"/>
        </w:rPr>
        <w:t xml:space="preserve"> Lift </w:t>
      </w:r>
      <w:r w:rsidRPr="00C60E82">
        <w:rPr>
          <w:rStyle w:val="Strong"/>
          <w:color w:val="404040" w:themeColor="text1" w:themeTint="BF"/>
        </w:rPr>
        <w:t xml:space="preserve">Data Exchange Standard for </w:t>
      </w:r>
      <w:r w:rsidR="005A161D" w:rsidRPr="00C60E82">
        <w:rPr>
          <w:rStyle w:val="Strong"/>
          <w:color w:val="404040" w:themeColor="text1" w:themeTint="BF"/>
        </w:rPr>
        <w:t xml:space="preserve">Oil and Gas </w:t>
      </w:r>
      <w:r w:rsidRPr="00C60E82">
        <w:rPr>
          <w:rStyle w:val="Strong"/>
          <w:color w:val="404040" w:themeColor="text1" w:themeTint="BF"/>
        </w:rPr>
        <w:t>Downstream Road Transport Fuels Movements</w:t>
      </w:r>
      <w:r w:rsidR="005A161D" w:rsidRPr="00C60E82">
        <w:rPr>
          <w:rStyle w:val="Strong"/>
          <w:color w:val="404040" w:themeColor="text1" w:themeTint="BF"/>
        </w:rPr>
        <w:t xml:space="preserve"> in Europe</w:t>
      </w:r>
      <w:r w:rsidRPr="00C60E82">
        <w:rPr>
          <w:rStyle w:val="Strong"/>
          <w:color w:val="404040" w:themeColor="text1" w:themeTint="BF"/>
        </w:rPr>
        <w:t xml:space="preserve">.  </w:t>
      </w:r>
    </w:p>
    <w:p w:rsidR="00B80647" w:rsidRDefault="00B80647">
      <w:pPr>
        <w:rPr>
          <w:rStyle w:val="Strong"/>
          <w:color w:val="404040" w:themeColor="text1" w:themeTint="BF"/>
        </w:rPr>
      </w:pPr>
    </w:p>
    <w:p w:rsidR="00AE2F0A" w:rsidRPr="00C60E82" w:rsidRDefault="005A161D">
      <w:pPr>
        <w:rPr>
          <w:rStyle w:val="Strong"/>
          <w:color w:val="404040" w:themeColor="text1" w:themeTint="BF"/>
        </w:rPr>
      </w:pPr>
      <w:r w:rsidRPr="00C60E82">
        <w:rPr>
          <w:rStyle w:val="Strong"/>
          <w:color w:val="404040" w:themeColor="text1" w:themeTint="BF"/>
        </w:rPr>
        <w:t>The document</w:t>
      </w:r>
      <w:r w:rsidR="00AE2F0A" w:rsidRPr="00C60E82">
        <w:rPr>
          <w:rStyle w:val="Strong"/>
          <w:color w:val="404040" w:themeColor="text1" w:themeTint="BF"/>
        </w:rPr>
        <w:t xml:space="preserve"> is open to all workgroup participants and interested parties to comment on.</w:t>
      </w:r>
    </w:p>
    <w:p w:rsidR="00882A59" w:rsidRPr="00C60E82" w:rsidRDefault="00EB5897">
      <w:pPr>
        <w:pStyle w:val="ToCTitle"/>
        <w:rPr>
          <w:color w:val="404040" w:themeColor="text1" w:themeTint="BF"/>
        </w:rPr>
      </w:pPr>
      <w:r w:rsidRPr="00C60E82">
        <w:rPr>
          <w:color w:val="404040" w:themeColor="text1" w:themeTint="BF"/>
          <w:sz w:val="22"/>
        </w:rPr>
        <w:br w:type="page"/>
      </w:r>
      <w:r w:rsidRPr="00C60E82">
        <w:rPr>
          <w:color w:val="404040" w:themeColor="text1" w:themeTint="BF"/>
        </w:rPr>
        <w:lastRenderedPageBreak/>
        <w:t>Contents</w:t>
      </w:r>
    </w:p>
    <w:p w:rsidR="00102C2D" w:rsidRDefault="00A46751">
      <w:pPr>
        <w:pStyle w:val="TOC1"/>
        <w:tabs>
          <w:tab w:val="left" w:pos="397"/>
          <w:tab w:val="right" w:leader="dot" w:pos="8630"/>
        </w:tabs>
        <w:rPr>
          <w:rFonts w:asciiTheme="minorHAnsi" w:eastAsiaTheme="minorEastAsia" w:hAnsiTheme="minorHAnsi" w:cstheme="minorBidi"/>
          <w:noProof/>
          <w:sz w:val="22"/>
          <w:szCs w:val="22"/>
        </w:rPr>
      </w:pPr>
      <w:r w:rsidRPr="00A8662B">
        <w:rPr>
          <w:rFonts w:ascii="Times New Roman" w:hAnsi="Times New Roman" w:cs="Times New Roman"/>
          <w:noProof/>
          <w:color w:val="404040" w:themeColor="text1" w:themeTint="BF"/>
        </w:rPr>
        <w:fldChar w:fldCharType="begin"/>
      </w:r>
      <w:r w:rsidR="00EB5897" w:rsidRPr="00A8662B">
        <w:rPr>
          <w:rFonts w:ascii="Times New Roman" w:hAnsi="Times New Roman" w:cs="Times New Roman"/>
          <w:noProof/>
          <w:color w:val="404040" w:themeColor="text1" w:themeTint="BF"/>
        </w:rPr>
        <w:instrText xml:space="preserve"> TOC \o "2-3" \h \z \t "Heading 1,1" </w:instrText>
      </w:r>
      <w:r w:rsidRPr="00A8662B">
        <w:rPr>
          <w:rFonts w:ascii="Times New Roman" w:hAnsi="Times New Roman" w:cs="Times New Roman"/>
          <w:noProof/>
          <w:color w:val="404040" w:themeColor="text1" w:themeTint="BF"/>
        </w:rPr>
        <w:fldChar w:fldCharType="separate"/>
      </w:r>
      <w:hyperlink w:anchor="_Toc342333881" w:history="1">
        <w:r w:rsidR="00102C2D" w:rsidRPr="0080048D">
          <w:rPr>
            <w:rStyle w:val="Hyperlink"/>
            <w:noProof/>
          </w:rPr>
          <w:t>1</w:t>
        </w:r>
        <w:r w:rsidR="00102C2D">
          <w:rPr>
            <w:rFonts w:asciiTheme="minorHAnsi" w:eastAsiaTheme="minorEastAsia" w:hAnsiTheme="minorHAnsi" w:cstheme="minorBidi"/>
            <w:noProof/>
            <w:sz w:val="22"/>
            <w:szCs w:val="22"/>
          </w:rPr>
          <w:tab/>
        </w:r>
        <w:r w:rsidR="00102C2D" w:rsidRPr="0080048D">
          <w:rPr>
            <w:rStyle w:val="Hyperlink"/>
            <w:noProof/>
          </w:rPr>
          <w:t>Introduction</w:t>
        </w:r>
        <w:r w:rsidR="00102C2D">
          <w:rPr>
            <w:noProof/>
            <w:webHidden/>
          </w:rPr>
          <w:tab/>
        </w:r>
        <w:r w:rsidR="00102C2D">
          <w:rPr>
            <w:noProof/>
            <w:webHidden/>
          </w:rPr>
          <w:fldChar w:fldCharType="begin"/>
        </w:r>
        <w:r w:rsidR="00102C2D">
          <w:rPr>
            <w:noProof/>
            <w:webHidden/>
          </w:rPr>
          <w:instrText xml:space="preserve"> PAGEREF _Toc342333881 \h </w:instrText>
        </w:r>
        <w:r w:rsidR="00102C2D">
          <w:rPr>
            <w:noProof/>
            <w:webHidden/>
          </w:rPr>
        </w:r>
        <w:r w:rsidR="00102C2D">
          <w:rPr>
            <w:noProof/>
            <w:webHidden/>
          </w:rPr>
          <w:fldChar w:fldCharType="separate"/>
        </w:r>
        <w:r w:rsidR="00102C2D">
          <w:rPr>
            <w:noProof/>
            <w:webHidden/>
          </w:rPr>
          <w:t>4</w:t>
        </w:r>
        <w:r w:rsidR="00102C2D">
          <w:rPr>
            <w:noProof/>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82" w:history="1">
        <w:r w:rsidR="00102C2D" w:rsidRPr="0080048D">
          <w:rPr>
            <w:rStyle w:val="Hyperlink"/>
          </w:rPr>
          <w:t>1.1</w:t>
        </w:r>
        <w:r w:rsidR="00102C2D">
          <w:rPr>
            <w:rFonts w:asciiTheme="minorHAnsi" w:eastAsiaTheme="minorEastAsia" w:hAnsiTheme="minorHAnsi" w:cstheme="minorBidi"/>
            <w:szCs w:val="22"/>
          </w:rPr>
          <w:tab/>
        </w:r>
        <w:r w:rsidR="00102C2D" w:rsidRPr="0080048D">
          <w:rPr>
            <w:rStyle w:val="Hyperlink"/>
          </w:rPr>
          <w:t>Purpose of the document</w:t>
        </w:r>
        <w:r w:rsidR="00102C2D">
          <w:rPr>
            <w:webHidden/>
          </w:rPr>
          <w:tab/>
        </w:r>
        <w:r w:rsidR="00102C2D">
          <w:rPr>
            <w:webHidden/>
          </w:rPr>
          <w:fldChar w:fldCharType="begin"/>
        </w:r>
        <w:r w:rsidR="00102C2D">
          <w:rPr>
            <w:webHidden/>
          </w:rPr>
          <w:instrText xml:space="preserve"> PAGEREF _Toc342333882 \h </w:instrText>
        </w:r>
        <w:r w:rsidR="00102C2D">
          <w:rPr>
            <w:webHidden/>
          </w:rPr>
        </w:r>
        <w:r w:rsidR="00102C2D">
          <w:rPr>
            <w:webHidden/>
          </w:rPr>
          <w:fldChar w:fldCharType="separate"/>
        </w:r>
        <w:r w:rsidR="00102C2D">
          <w:rPr>
            <w:webHidden/>
          </w:rPr>
          <w:t>4</w:t>
        </w:r>
        <w:r w:rsidR="00102C2D">
          <w:rPr>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83" w:history="1">
        <w:r w:rsidR="00102C2D" w:rsidRPr="0080048D">
          <w:rPr>
            <w:rStyle w:val="Hyperlink"/>
          </w:rPr>
          <w:t>1.2</w:t>
        </w:r>
        <w:r w:rsidR="00102C2D">
          <w:rPr>
            <w:rFonts w:asciiTheme="minorHAnsi" w:eastAsiaTheme="minorEastAsia" w:hAnsiTheme="minorHAnsi" w:cstheme="minorBidi"/>
            <w:szCs w:val="22"/>
          </w:rPr>
          <w:tab/>
        </w:r>
        <w:r w:rsidR="00102C2D" w:rsidRPr="0080048D">
          <w:rPr>
            <w:rStyle w:val="Hyperlink"/>
          </w:rPr>
          <w:t>Glossary</w:t>
        </w:r>
        <w:r w:rsidR="00102C2D">
          <w:rPr>
            <w:webHidden/>
          </w:rPr>
          <w:tab/>
        </w:r>
        <w:r w:rsidR="00102C2D">
          <w:rPr>
            <w:webHidden/>
          </w:rPr>
          <w:fldChar w:fldCharType="begin"/>
        </w:r>
        <w:r w:rsidR="00102C2D">
          <w:rPr>
            <w:webHidden/>
          </w:rPr>
          <w:instrText xml:space="preserve"> PAGEREF _Toc342333883 \h </w:instrText>
        </w:r>
        <w:r w:rsidR="00102C2D">
          <w:rPr>
            <w:webHidden/>
          </w:rPr>
        </w:r>
        <w:r w:rsidR="00102C2D">
          <w:rPr>
            <w:webHidden/>
          </w:rPr>
          <w:fldChar w:fldCharType="separate"/>
        </w:r>
        <w:r w:rsidR="00102C2D">
          <w:rPr>
            <w:webHidden/>
          </w:rPr>
          <w:t>4</w:t>
        </w:r>
        <w:r w:rsidR="00102C2D">
          <w:rPr>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84" w:history="1">
        <w:r w:rsidR="00102C2D" w:rsidRPr="0080048D">
          <w:rPr>
            <w:rStyle w:val="Hyperlink"/>
          </w:rPr>
          <w:t>1.3</w:t>
        </w:r>
        <w:r w:rsidR="00102C2D">
          <w:rPr>
            <w:rFonts w:asciiTheme="minorHAnsi" w:eastAsiaTheme="minorEastAsia" w:hAnsiTheme="minorHAnsi" w:cstheme="minorBidi"/>
            <w:szCs w:val="22"/>
          </w:rPr>
          <w:tab/>
        </w:r>
        <w:r w:rsidR="00102C2D" w:rsidRPr="0080048D">
          <w:rPr>
            <w:rStyle w:val="Hyperlink"/>
          </w:rPr>
          <w:t>PIDX Right To Lift Command Overview</w:t>
        </w:r>
        <w:r w:rsidR="00102C2D">
          <w:rPr>
            <w:webHidden/>
          </w:rPr>
          <w:tab/>
        </w:r>
        <w:r w:rsidR="00102C2D">
          <w:rPr>
            <w:webHidden/>
          </w:rPr>
          <w:fldChar w:fldCharType="begin"/>
        </w:r>
        <w:r w:rsidR="00102C2D">
          <w:rPr>
            <w:webHidden/>
          </w:rPr>
          <w:instrText xml:space="preserve"> PAGEREF _Toc342333884 \h </w:instrText>
        </w:r>
        <w:r w:rsidR="00102C2D">
          <w:rPr>
            <w:webHidden/>
          </w:rPr>
        </w:r>
        <w:r w:rsidR="00102C2D">
          <w:rPr>
            <w:webHidden/>
          </w:rPr>
          <w:fldChar w:fldCharType="separate"/>
        </w:r>
        <w:r w:rsidR="00102C2D">
          <w:rPr>
            <w:webHidden/>
          </w:rPr>
          <w:t>5</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85" w:history="1">
        <w:r w:rsidR="00102C2D" w:rsidRPr="0080048D">
          <w:rPr>
            <w:rStyle w:val="Hyperlink"/>
          </w:rPr>
          <w:t>1.3.1</w:t>
        </w:r>
        <w:r w:rsidR="00102C2D">
          <w:rPr>
            <w:rFonts w:asciiTheme="minorHAnsi" w:eastAsiaTheme="minorEastAsia" w:hAnsiTheme="minorHAnsi" w:cstheme="minorBidi"/>
            <w:szCs w:val="22"/>
          </w:rPr>
          <w:tab/>
        </w:r>
        <w:r w:rsidR="00102C2D" w:rsidRPr="0080048D">
          <w:rPr>
            <w:rStyle w:val="Hyperlink"/>
          </w:rPr>
          <w:t>PIDX Authorization Request</w:t>
        </w:r>
        <w:r w:rsidR="00102C2D">
          <w:rPr>
            <w:webHidden/>
          </w:rPr>
          <w:tab/>
        </w:r>
        <w:r w:rsidR="00102C2D">
          <w:rPr>
            <w:webHidden/>
          </w:rPr>
          <w:fldChar w:fldCharType="begin"/>
        </w:r>
        <w:r w:rsidR="00102C2D">
          <w:rPr>
            <w:webHidden/>
          </w:rPr>
          <w:instrText xml:space="preserve"> PAGEREF _Toc342333885 \h </w:instrText>
        </w:r>
        <w:r w:rsidR="00102C2D">
          <w:rPr>
            <w:webHidden/>
          </w:rPr>
        </w:r>
        <w:r w:rsidR="00102C2D">
          <w:rPr>
            <w:webHidden/>
          </w:rPr>
          <w:fldChar w:fldCharType="separate"/>
        </w:r>
        <w:r w:rsidR="00102C2D">
          <w:rPr>
            <w:webHidden/>
          </w:rPr>
          <w:t>6</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86" w:history="1">
        <w:r w:rsidR="00102C2D" w:rsidRPr="0080048D">
          <w:rPr>
            <w:rStyle w:val="Hyperlink"/>
          </w:rPr>
          <w:t>1.3.2</w:t>
        </w:r>
        <w:r w:rsidR="00102C2D">
          <w:rPr>
            <w:rFonts w:asciiTheme="minorHAnsi" w:eastAsiaTheme="minorEastAsia" w:hAnsiTheme="minorHAnsi" w:cstheme="minorBidi"/>
            <w:szCs w:val="22"/>
          </w:rPr>
          <w:tab/>
        </w:r>
        <w:r w:rsidR="00102C2D" w:rsidRPr="0080048D">
          <w:rPr>
            <w:rStyle w:val="Hyperlink"/>
          </w:rPr>
          <w:t>PIDX Authorization Response</w:t>
        </w:r>
        <w:r w:rsidR="00102C2D">
          <w:rPr>
            <w:webHidden/>
          </w:rPr>
          <w:tab/>
        </w:r>
        <w:r w:rsidR="00102C2D">
          <w:rPr>
            <w:webHidden/>
          </w:rPr>
          <w:fldChar w:fldCharType="begin"/>
        </w:r>
        <w:r w:rsidR="00102C2D">
          <w:rPr>
            <w:webHidden/>
          </w:rPr>
          <w:instrText xml:space="preserve"> PAGEREF _Toc342333886 \h </w:instrText>
        </w:r>
        <w:r w:rsidR="00102C2D">
          <w:rPr>
            <w:webHidden/>
          </w:rPr>
        </w:r>
        <w:r w:rsidR="00102C2D">
          <w:rPr>
            <w:webHidden/>
          </w:rPr>
          <w:fldChar w:fldCharType="separate"/>
        </w:r>
        <w:r w:rsidR="00102C2D">
          <w:rPr>
            <w:webHidden/>
          </w:rPr>
          <w:t>7</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87" w:history="1">
        <w:r w:rsidR="00102C2D" w:rsidRPr="0080048D">
          <w:rPr>
            <w:rStyle w:val="Hyperlink"/>
          </w:rPr>
          <w:t>1.3.3</w:t>
        </w:r>
        <w:r w:rsidR="00102C2D">
          <w:rPr>
            <w:rFonts w:asciiTheme="minorHAnsi" w:eastAsiaTheme="minorEastAsia" w:hAnsiTheme="minorHAnsi" w:cstheme="minorBidi"/>
            <w:szCs w:val="22"/>
          </w:rPr>
          <w:tab/>
        </w:r>
        <w:r w:rsidR="00102C2D" w:rsidRPr="0080048D">
          <w:rPr>
            <w:rStyle w:val="Hyperlink"/>
          </w:rPr>
          <w:t>PIDXBOL</w:t>
        </w:r>
        <w:r w:rsidR="00102C2D">
          <w:rPr>
            <w:webHidden/>
          </w:rPr>
          <w:tab/>
        </w:r>
        <w:r w:rsidR="00102C2D">
          <w:rPr>
            <w:webHidden/>
          </w:rPr>
          <w:fldChar w:fldCharType="begin"/>
        </w:r>
        <w:r w:rsidR="00102C2D">
          <w:rPr>
            <w:webHidden/>
          </w:rPr>
          <w:instrText xml:space="preserve"> PAGEREF _Toc342333887 \h </w:instrText>
        </w:r>
        <w:r w:rsidR="00102C2D">
          <w:rPr>
            <w:webHidden/>
          </w:rPr>
        </w:r>
        <w:r w:rsidR="00102C2D">
          <w:rPr>
            <w:webHidden/>
          </w:rPr>
          <w:fldChar w:fldCharType="separate"/>
        </w:r>
        <w:r w:rsidR="00102C2D">
          <w:rPr>
            <w:webHidden/>
          </w:rPr>
          <w:t>8</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88" w:history="1">
        <w:r w:rsidR="00102C2D" w:rsidRPr="0080048D">
          <w:rPr>
            <w:rStyle w:val="Hyperlink"/>
          </w:rPr>
          <w:t>1.3.4</w:t>
        </w:r>
        <w:r w:rsidR="00102C2D">
          <w:rPr>
            <w:rFonts w:asciiTheme="minorHAnsi" w:eastAsiaTheme="minorEastAsia" w:hAnsiTheme="minorHAnsi" w:cstheme="minorBidi"/>
            <w:szCs w:val="22"/>
          </w:rPr>
          <w:tab/>
        </w:r>
        <w:r w:rsidR="00102C2D" w:rsidRPr="0080048D">
          <w:rPr>
            <w:rStyle w:val="Hyperlink"/>
          </w:rPr>
          <w:t>PIDXBOLResponse</w:t>
        </w:r>
        <w:r w:rsidR="00102C2D">
          <w:rPr>
            <w:webHidden/>
          </w:rPr>
          <w:tab/>
        </w:r>
        <w:r w:rsidR="00102C2D">
          <w:rPr>
            <w:webHidden/>
          </w:rPr>
          <w:fldChar w:fldCharType="begin"/>
        </w:r>
        <w:r w:rsidR="00102C2D">
          <w:rPr>
            <w:webHidden/>
          </w:rPr>
          <w:instrText xml:space="preserve"> PAGEREF _Toc342333888 \h </w:instrText>
        </w:r>
        <w:r w:rsidR="00102C2D">
          <w:rPr>
            <w:webHidden/>
          </w:rPr>
        </w:r>
        <w:r w:rsidR="00102C2D">
          <w:rPr>
            <w:webHidden/>
          </w:rPr>
          <w:fldChar w:fldCharType="separate"/>
        </w:r>
        <w:r w:rsidR="00102C2D">
          <w:rPr>
            <w:webHidden/>
          </w:rPr>
          <w:t>9</w:t>
        </w:r>
        <w:r w:rsidR="00102C2D">
          <w:rPr>
            <w:webHidden/>
          </w:rPr>
          <w:fldChar w:fldCharType="end"/>
        </w:r>
      </w:hyperlink>
    </w:p>
    <w:p w:rsidR="00102C2D" w:rsidRDefault="007E66BE">
      <w:pPr>
        <w:pStyle w:val="TOC1"/>
        <w:tabs>
          <w:tab w:val="left" w:pos="397"/>
          <w:tab w:val="right" w:leader="dot" w:pos="8630"/>
        </w:tabs>
        <w:rPr>
          <w:rFonts w:asciiTheme="minorHAnsi" w:eastAsiaTheme="minorEastAsia" w:hAnsiTheme="minorHAnsi" w:cstheme="minorBidi"/>
          <w:noProof/>
          <w:sz w:val="22"/>
          <w:szCs w:val="22"/>
        </w:rPr>
      </w:pPr>
      <w:hyperlink w:anchor="_Toc342333889" w:history="1">
        <w:r w:rsidR="00102C2D" w:rsidRPr="0080048D">
          <w:rPr>
            <w:rStyle w:val="Hyperlink"/>
            <w:noProof/>
          </w:rPr>
          <w:t>2</w:t>
        </w:r>
        <w:r w:rsidR="00102C2D">
          <w:rPr>
            <w:rFonts w:asciiTheme="minorHAnsi" w:eastAsiaTheme="minorEastAsia" w:hAnsiTheme="minorHAnsi" w:cstheme="minorBidi"/>
            <w:noProof/>
            <w:sz w:val="22"/>
            <w:szCs w:val="22"/>
          </w:rPr>
          <w:tab/>
        </w:r>
        <w:r w:rsidR="00102C2D" w:rsidRPr="0080048D">
          <w:rPr>
            <w:rStyle w:val="Hyperlink"/>
            <w:noProof/>
          </w:rPr>
          <w:t>Detailed Element Data Population Recommendations</w:t>
        </w:r>
        <w:r w:rsidR="00102C2D">
          <w:rPr>
            <w:noProof/>
            <w:webHidden/>
          </w:rPr>
          <w:tab/>
        </w:r>
        <w:r w:rsidR="00102C2D">
          <w:rPr>
            <w:noProof/>
            <w:webHidden/>
          </w:rPr>
          <w:fldChar w:fldCharType="begin"/>
        </w:r>
        <w:r w:rsidR="00102C2D">
          <w:rPr>
            <w:noProof/>
            <w:webHidden/>
          </w:rPr>
          <w:instrText xml:space="preserve"> PAGEREF _Toc342333889 \h </w:instrText>
        </w:r>
        <w:r w:rsidR="00102C2D">
          <w:rPr>
            <w:noProof/>
            <w:webHidden/>
          </w:rPr>
        </w:r>
        <w:r w:rsidR="00102C2D">
          <w:rPr>
            <w:noProof/>
            <w:webHidden/>
          </w:rPr>
          <w:fldChar w:fldCharType="separate"/>
        </w:r>
        <w:r w:rsidR="00102C2D">
          <w:rPr>
            <w:noProof/>
            <w:webHidden/>
          </w:rPr>
          <w:t>10</w:t>
        </w:r>
        <w:r w:rsidR="00102C2D">
          <w:rPr>
            <w:noProof/>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90" w:history="1">
        <w:r w:rsidR="00102C2D" w:rsidRPr="0080048D">
          <w:rPr>
            <w:rStyle w:val="Hyperlink"/>
          </w:rPr>
          <w:t>2.1</w:t>
        </w:r>
        <w:r w:rsidR="00102C2D">
          <w:rPr>
            <w:rFonts w:asciiTheme="minorHAnsi" w:eastAsiaTheme="minorEastAsia" w:hAnsiTheme="minorHAnsi" w:cstheme="minorBidi"/>
            <w:szCs w:val="22"/>
          </w:rPr>
          <w:tab/>
        </w:r>
        <w:r w:rsidR="00102C2D" w:rsidRPr="0080048D">
          <w:rPr>
            <w:rStyle w:val="Hyperlink"/>
          </w:rPr>
          <w:t>Scenarios using the LoadingType field:</w:t>
        </w:r>
        <w:r w:rsidR="00102C2D">
          <w:rPr>
            <w:webHidden/>
          </w:rPr>
          <w:tab/>
        </w:r>
        <w:r w:rsidR="00102C2D">
          <w:rPr>
            <w:webHidden/>
          </w:rPr>
          <w:fldChar w:fldCharType="begin"/>
        </w:r>
        <w:r w:rsidR="00102C2D">
          <w:rPr>
            <w:webHidden/>
          </w:rPr>
          <w:instrText xml:space="preserve"> PAGEREF _Toc342333890 \h </w:instrText>
        </w:r>
        <w:r w:rsidR="00102C2D">
          <w:rPr>
            <w:webHidden/>
          </w:rPr>
        </w:r>
        <w:r w:rsidR="00102C2D">
          <w:rPr>
            <w:webHidden/>
          </w:rPr>
          <w:fldChar w:fldCharType="separate"/>
        </w:r>
        <w:r w:rsidR="00102C2D">
          <w:rPr>
            <w:webHidden/>
          </w:rPr>
          <w:t>11</w:t>
        </w:r>
        <w:r w:rsidR="00102C2D">
          <w:rPr>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91" w:history="1">
        <w:r w:rsidR="00102C2D" w:rsidRPr="0080048D">
          <w:rPr>
            <w:rStyle w:val="Hyperlink"/>
          </w:rPr>
          <w:t>2.2</w:t>
        </w:r>
        <w:r w:rsidR="00102C2D">
          <w:rPr>
            <w:rFonts w:asciiTheme="minorHAnsi" w:eastAsiaTheme="minorEastAsia" w:hAnsiTheme="minorHAnsi" w:cstheme="minorBidi"/>
            <w:szCs w:val="22"/>
          </w:rPr>
          <w:tab/>
        </w:r>
        <w:r w:rsidR="00102C2D" w:rsidRPr="0080048D">
          <w:rPr>
            <w:rStyle w:val="Hyperlink"/>
          </w:rPr>
          <w:t>Multiple Parties in the AuthParties structure</w:t>
        </w:r>
        <w:r w:rsidR="00102C2D">
          <w:rPr>
            <w:webHidden/>
          </w:rPr>
          <w:tab/>
        </w:r>
        <w:r w:rsidR="00102C2D">
          <w:rPr>
            <w:webHidden/>
          </w:rPr>
          <w:fldChar w:fldCharType="begin"/>
        </w:r>
        <w:r w:rsidR="00102C2D">
          <w:rPr>
            <w:webHidden/>
          </w:rPr>
          <w:instrText xml:space="preserve"> PAGEREF _Toc342333891 \h </w:instrText>
        </w:r>
        <w:r w:rsidR="00102C2D">
          <w:rPr>
            <w:webHidden/>
          </w:rPr>
        </w:r>
        <w:r w:rsidR="00102C2D">
          <w:rPr>
            <w:webHidden/>
          </w:rPr>
          <w:fldChar w:fldCharType="separate"/>
        </w:r>
        <w:r w:rsidR="00102C2D">
          <w:rPr>
            <w:webHidden/>
          </w:rPr>
          <w:t>12</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92" w:history="1">
        <w:r w:rsidR="00102C2D" w:rsidRPr="0080048D">
          <w:rPr>
            <w:rStyle w:val="Hyperlink"/>
          </w:rPr>
          <w:t>2.2.1</w:t>
        </w:r>
        <w:r w:rsidR="00102C2D">
          <w:rPr>
            <w:rFonts w:asciiTheme="minorHAnsi" w:eastAsiaTheme="minorEastAsia" w:hAnsiTheme="minorHAnsi" w:cstheme="minorBidi"/>
            <w:szCs w:val="22"/>
          </w:rPr>
          <w:tab/>
        </w:r>
        <w:r w:rsidR="00102C2D" w:rsidRPr="0080048D">
          <w:rPr>
            <w:rStyle w:val="Hyperlink"/>
          </w:rPr>
          <w:t>One Party Example</w:t>
        </w:r>
        <w:r w:rsidR="00102C2D">
          <w:rPr>
            <w:webHidden/>
          </w:rPr>
          <w:tab/>
        </w:r>
        <w:r w:rsidR="00102C2D">
          <w:rPr>
            <w:webHidden/>
          </w:rPr>
          <w:fldChar w:fldCharType="begin"/>
        </w:r>
        <w:r w:rsidR="00102C2D">
          <w:rPr>
            <w:webHidden/>
          </w:rPr>
          <w:instrText xml:space="preserve"> PAGEREF _Toc342333892 \h </w:instrText>
        </w:r>
        <w:r w:rsidR="00102C2D">
          <w:rPr>
            <w:webHidden/>
          </w:rPr>
        </w:r>
        <w:r w:rsidR="00102C2D">
          <w:rPr>
            <w:webHidden/>
          </w:rPr>
          <w:fldChar w:fldCharType="separate"/>
        </w:r>
        <w:r w:rsidR="00102C2D">
          <w:rPr>
            <w:webHidden/>
          </w:rPr>
          <w:t>12</w:t>
        </w:r>
        <w:r w:rsidR="00102C2D">
          <w:rPr>
            <w:webHidden/>
          </w:rPr>
          <w:fldChar w:fldCharType="end"/>
        </w:r>
      </w:hyperlink>
    </w:p>
    <w:p w:rsidR="00102C2D" w:rsidRDefault="007E66BE">
      <w:pPr>
        <w:pStyle w:val="TOC3"/>
        <w:tabs>
          <w:tab w:val="left" w:pos="1786"/>
          <w:tab w:val="right" w:leader="dot" w:pos="8630"/>
        </w:tabs>
        <w:rPr>
          <w:rFonts w:asciiTheme="minorHAnsi" w:eastAsiaTheme="minorEastAsia" w:hAnsiTheme="minorHAnsi" w:cstheme="minorBidi"/>
          <w:szCs w:val="22"/>
        </w:rPr>
      </w:pPr>
      <w:hyperlink w:anchor="_Toc342333893" w:history="1">
        <w:r w:rsidR="00102C2D" w:rsidRPr="0080048D">
          <w:rPr>
            <w:rStyle w:val="Hyperlink"/>
          </w:rPr>
          <w:t>2.2.2</w:t>
        </w:r>
        <w:r w:rsidR="00102C2D">
          <w:rPr>
            <w:rFonts w:asciiTheme="minorHAnsi" w:eastAsiaTheme="minorEastAsia" w:hAnsiTheme="minorHAnsi" w:cstheme="minorBidi"/>
            <w:szCs w:val="22"/>
          </w:rPr>
          <w:tab/>
        </w:r>
        <w:r w:rsidR="00102C2D" w:rsidRPr="0080048D">
          <w:rPr>
            <w:rStyle w:val="Hyperlink"/>
          </w:rPr>
          <w:t>Two Party Example</w:t>
        </w:r>
        <w:r w:rsidR="00102C2D">
          <w:rPr>
            <w:webHidden/>
          </w:rPr>
          <w:tab/>
        </w:r>
        <w:r w:rsidR="00102C2D">
          <w:rPr>
            <w:webHidden/>
          </w:rPr>
          <w:fldChar w:fldCharType="begin"/>
        </w:r>
        <w:r w:rsidR="00102C2D">
          <w:rPr>
            <w:webHidden/>
          </w:rPr>
          <w:instrText xml:space="preserve"> PAGEREF _Toc342333893 \h </w:instrText>
        </w:r>
        <w:r w:rsidR="00102C2D">
          <w:rPr>
            <w:webHidden/>
          </w:rPr>
        </w:r>
        <w:r w:rsidR="00102C2D">
          <w:rPr>
            <w:webHidden/>
          </w:rPr>
          <w:fldChar w:fldCharType="separate"/>
        </w:r>
        <w:r w:rsidR="00102C2D">
          <w:rPr>
            <w:webHidden/>
          </w:rPr>
          <w:t>13</w:t>
        </w:r>
        <w:r w:rsidR="00102C2D">
          <w:rPr>
            <w:webHidden/>
          </w:rPr>
          <w:fldChar w:fldCharType="end"/>
        </w:r>
      </w:hyperlink>
    </w:p>
    <w:p w:rsidR="00102C2D" w:rsidRDefault="007E66BE">
      <w:pPr>
        <w:pStyle w:val="TOC2"/>
        <w:tabs>
          <w:tab w:val="left" w:pos="1077"/>
          <w:tab w:val="right" w:leader="dot" w:pos="8630"/>
        </w:tabs>
        <w:rPr>
          <w:rFonts w:asciiTheme="minorHAnsi" w:eastAsiaTheme="minorEastAsia" w:hAnsiTheme="minorHAnsi" w:cstheme="minorBidi"/>
          <w:szCs w:val="22"/>
        </w:rPr>
      </w:pPr>
      <w:hyperlink w:anchor="_Toc342333894" w:history="1">
        <w:r w:rsidR="00102C2D" w:rsidRPr="0080048D">
          <w:rPr>
            <w:rStyle w:val="Hyperlink"/>
          </w:rPr>
          <w:t>2.3</w:t>
        </w:r>
        <w:r w:rsidR="00102C2D">
          <w:rPr>
            <w:rFonts w:asciiTheme="minorHAnsi" w:eastAsiaTheme="minorEastAsia" w:hAnsiTheme="minorHAnsi" w:cstheme="minorBidi"/>
            <w:szCs w:val="22"/>
          </w:rPr>
          <w:tab/>
        </w:r>
        <w:r w:rsidR="00102C2D" w:rsidRPr="0080048D">
          <w:rPr>
            <w:rStyle w:val="Hyperlink"/>
          </w:rPr>
          <w:t>Cancelled Loads – No Load BOLs</w:t>
        </w:r>
        <w:r w:rsidR="00102C2D">
          <w:rPr>
            <w:webHidden/>
          </w:rPr>
          <w:tab/>
        </w:r>
        <w:r w:rsidR="00102C2D">
          <w:rPr>
            <w:webHidden/>
          </w:rPr>
          <w:fldChar w:fldCharType="begin"/>
        </w:r>
        <w:r w:rsidR="00102C2D">
          <w:rPr>
            <w:webHidden/>
          </w:rPr>
          <w:instrText xml:space="preserve"> PAGEREF _Toc342333894 \h </w:instrText>
        </w:r>
        <w:r w:rsidR="00102C2D">
          <w:rPr>
            <w:webHidden/>
          </w:rPr>
        </w:r>
        <w:r w:rsidR="00102C2D">
          <w:rPr>
            <w:webHidden/>
          </w:rPr>
          <w:fldChar w:fldCharType="separate"/>
        </w:r>
        <w:r w:rsidR="00102C2D">
          <w:rPr>
            <w:webHidden/>
          </w:rPr>
          <w:t>13</w:t>
        </w:r>
        <w:r w:rsidR="00102C2D">
          <w:rPr>
            <w:webHidden/>
          </w:rPr>
          <w:fldChar w:fldCharType="end"/>
        </w:r>
      </w:hyperlink>
    </w:p>
    <w:p w:rsidR="00882A59" w:rsidRPr="00A8662B" w:rsidRDefault="00A46751">
      <w:pPr>
        <w:pStyle w:val="Header"/>
        <w:tabs>
          <w:tab w:val="clear" w:pos="4320"/>
          <w:tab w:val="clear" w:pos="8640"/>
        </w:tabs>
        <w:rPr>
          <w:rFonts w:ascii="Times New Roman" w:hAnsi="Times New Roman" w:cs="Times New Roman"/>
          <w:noProof/>
          <w:color w:val="404040" w:themeColor="text1" w:themeTint="BF"/>
          <w:sz w:val="24"/>
        </w:rPr>
        <w:sectPr w:rsidR="00882A59" w:rsidRPr="00A8662B">
          <w:footerReference w:type="default" r:id="rId12"/>
          <w:pgSz w:w="12240" w:h="15840"/>
          <w:pgMar w:top="1440" w:right="1800" w:bottom="1440" w:left="1800" w:header="720" w:footer="720" w:gutter="0"/>
          <w:cols w:space="720"/>
          <w:docGrid w:linePitch="360"/>
        </w:sectPr>
      </w:pPr>
      <w:r w:rsidRPr="00A8662B">
        <w:rPr>
          <w:rFonts w:ascii="Times New Roman" w:hAnsi="Times New Roman" w:cs="Times New Roman"/>
          <w:noProof/>
          <w:color w:val="404040" w:themeColor="text1" w:themeTint="BF"/>
        </w:rPr>
        <w:fldChar w:fldCharType="end"/>
      </w:r>
    </w:p>
    <w:p w:rsidR="00882A59" w:rsidRPr="00A8662B" w:rsidRDefault="00882A59">
      <w:pPr>
        <w:pStyle w:val="Header"/>
        <w:tabs>
          <w:tab w:val="clear" w:pos="4320"/>
          <w:tab w:val="clear" w:pos="8640"/>
        </w:tabs>
        <w:rPr>
          <w:rFonts w:ascii="Times New Roman" w:hAnsi="Times New Roman" w:cs="Times New Roman"/>
          <w:noProof/>
          <w:color w:val="404040" w:themeColor="text1" w:themeTint="BF"/>
        </w:rPr>
      </w:pPr>
    </w:p>
    <w:p w:rsidR="00882A59" w:rsidRPr="00C60E82" w:rsidRDefault="00EB5897">
      <w:pPr>
        <w:pStyle w:val="Heading1"/>
        <w:rPr>
          <w:color w:val="404040" w:themeColor="text1" w:themeTint="BF"/>
        </w:rPr>
      </w:pPr>
      <w:bookmarkStart w:id="0" w:name="_Ref265591040"/>
      <w:bookmarkStart w:id="1" w:name="_Toc342333881"/>
      <w:r w:rsidRPr="00C60E82">
        <w:rPr>
          <w:color w:val="404040" w:themeColor="text1" w:themeTint="BF"/>
        </w:rPr>
        <w:t>Introduction</w:t>
      </w:r>
      <w:bookmarkEnd w:id="0"/>
      <w:bookmarkEnd w:id="1"/>
    </w:p>
    <w:p w:rsidR="00882A59" w:rsidRPr="00C60E82" w:rsidRDefault="00EB5897">
      <w:pPr>
        <w:pStyle w:val="Heading2"/>
        <w:rPr>
          <w:rFonts w:ascii="Arial" w:hAnsi="Arial"/>
        </w:rPr>
      </w:pPr>
      <w:bookmarkStart w:id="2" w:name="_Toc342333882"/>
      <w:r w:rsidRPr="00C60E82">
        <w:rPr>
          <w:rFonts w:ascii="Arial" w:hAnsi="Arial"/>
        </w:rPr>
        <w:t>Purpose of the document</w:t>
      </w:r>
      <w:bookmarkEnd w:id="2"/>
    </w:p>
    <w:p w:rsidR="00B80647" w:rsidRDefault="00B80647" w:rsidP="00B80647">
      <w:r>
        <w:t>The Right to Lift XSD con</w:t>
      </w:r>
      <w:r w:rsidR="008D35D0">
        <w:t>tains a set of messages used as the data structures for exchanging data between the TAS and C</w:t>
      </w:r>
      <w:r>
        <w:t xml:space="preserve">entral </w:t>
      </w:r>
      <w:r w:rsidR="008D35D0">
        <w:t>C</w:t>
      </w:r>
      <w:r>
        <w:t xml:space="preserve">learing </w:t>
      </w:r>
      <w:r w:rsidR="008D35D0">
        <w:t>H</w:t>
      </w:r>
      <w:r>
        <w:t>ouse</w:t>
      </w:r>
      <w:r w:rsidR="008D35D0">
        <w:t xml:space="preserve"> service provider. The document will describe the recommended usage of each field for both requests and response.</w:t>
      </w:r>
    </w:p>
    <w:p w:rsidR="008D35D0" w:rsidRDefault="008D35D0">
      <w:pPr>
        <w:rPr>
          <w:color w:val="404040" w:themeColor="text1" w:themeTint="BF"/>
        </w:rPr>
      </w:pPr>
    </w:p>
    <w:p w:rsidR="00882A59" w:rsidRPr="0033522C" w:rsidRDefault="00EB5897">
      <w:r w:rsidRPr="0033522C">
        <w:t xml:space="preserve">The intended audience is: </w:t>
      </w:r>
    </w:p>
    <w:p w:rsidR="00882A59" w:rsidRPr="0033522C" w:rsidRDefault="00B80647">
      <w:pPr>
        <w:numPr>
          <w:ilvl w:val="0"/>
          <w:numId w:val="18"/>
        </w:numPr>
      </w:pPr>
      <w:r w:rsidRPr="0033522C">
        <w:t>Any TAS Vendor planning to implement Right to Lift Protocol.</w:t>
      </w:r>
    </w:p>
    <w:p w:rsidR="00882A59" w:rsidRPr="0033522C" w:rsidRDefault="00EB5897">
      <w:pPr>
        <w:numPr>
          <w:ilvl w:val="0"/>
          <w:numId w:val="18"/>
        </w:numPr>
      </w:pPr>
      <w:r w:rsidRPr="0033522C">
        <w:t>Any potential Clearing House service provider.</w:t>
      </w:r>
    </w:p>
    <w:p w:rsidR="00882A59" w:rsidRPr="0033522C" w:rsidRDefault="00EB5897">
      <w:pPr>
        <w:numPr>
          <w:ilvl w:val="0"/>
          <w:numId w:val="18"/>
        </w:numPr>
      </w:pPr>
      <w:r w:rsidRPr="0033522C">
        <w:t>Any relevant trade association.</w:t>
      </w:r>
    </w:p>
    <w:p w:rsidR="00882A59" w:rsidRPr="00C60E82" w:rsidRDefault="00EB5897">
      <w:pPr>
        <w:pStyle w:val="Heading2"/>
        <w:rPr>
          <w:rFonts w:ascii="Arial" w:hAnsi="Arial"/>
        </w:rPr>
      </w:pPr>
      <w:bookmarkStart w:id="3" w:name="_Toc342333883"/>
      <w:r w:rsidRPr="00C60E82">
        <w:rPr>
          <w:rFonts w:ascii="Arial" w:hAnsi="Arial"/>
        </w:rPr>
        <w:t>Glossary</w:t>
      </w:r>
      <w:bookmarkEnd w:id="3"/>
    </w:p>
    <w:tbl>
      <w:tblPr>
        <w:tblW w:w="9108" w:type="dxa"/>
        <w:tblCellMar>
          <w:left w:w="57" w:type="dxa"/>
          <w:right w:w="57" w:type="dxa"/>
        </w:tblCellMar>
        <w:tblLook w:val="0000" w:firstRow="0" w:lastRow="0" w:firstColumn="0" w:lastColumn="0" w:noHBand="0" w:noVBand="0"/>
      </w:tblPr>
      <w:tblGrid>
        <w:gridCol w:w="9108"/>
      </w:tblGrid>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Allocation</w:t>
            </w:r>
            <w:r w:rsidRPr="00C60E82">
              <w:rPr>
                <w:color w:val="404040" w:themeColor="text1" w:themeTint="BF"/>
              </w:rPr>
              <w:t xml:space="preserve"> – Defines a control over amount of product that can be lifted against a contract over a specific period.</w:t>
            </w:r>
          </w:p>
        </w:tc>
      </w:tr>
      <w:tr w:rsidR="00882A59" w:rsidRPr="00C60E82">
        <w:trPr>
          <w:cantSplit/>
        </w:trPr>
        <w:tc>
          <w:tcPr>
            <w:tcW w:w="9108" w:type="dxa"/>
          </w:tcPr>
          <w:p w:rsidR="00882A59" w:rsidRPr="00C60E82" w:rsidRDefault="00EB5897">
            <w:pPr>
              <w:rPr>
                <w:b/>
                <w:bCs/>
                <w:color w:val="404040" w:themeColor="text1" w:themeTint="BF"/>
              </w:rPr>
            </w:pPr>
            <w:r w:rsidRPr="00C60E82">
              <w:rPr>
                <w:b/>
                <w:bCs/>
                <w:color w:val="404040" w:themeColor="text1" w:themeTint="BF"/>
              </w:rPr>
              <w:t xml:space="preserve">Clearing </w:t>
            </w:r>
            <w:r w:rsidRPr="00833A83">
              <w:rPr>
                <w:b/>
                <w:bCs/>
                <w:color w:val="404040" w:themeColor="text1" w:themeTint="BF"/>
              </w:rPr>
              <w:t>House</w:t>
            </w:r>
            <w:r w:rsidRPr="0033522C">
              <w:rPr>
                <w:b/>
                <w:color w:val="404040" w:themeColor="text1" w:themeTint="BF"/>
              </w:rPr>
              <w:t xml:space="preserve"> </w:t>
            </w:r>
            <w:r w:rsidR="00833A83" w:rsidRPr="0033522C">
              <w:rPr>
                <w:b/>
                <w:color w:val="404040" w:themeColor="text1" w:themeTint="BF"/>
              </w:rPr>
              <w:t>(CH)</w:t>
            </w:r>
            <w:r w:rsidR="00833A83">
              <w:rPr>
                <w:color w:val="404040" w:themeColor="text1" w:themeTint="BF"/>
              </w:rPr>
              <w:t xml:space="preserve"> </w:t>
            </w:r>
            <w:r w:rsidRPr="00C60E82">
              <w:rPr>
                <w:color w:val="404040" w:themeColor="text1" w:themeTint="BF"/>
              </w:rPr>
              <w:t>– External company selected to deliver a facility for the exchange of data between oil companies and to manage this service.</w:t>
            </w:r>
          </w:p>
        </w:tc>
      </w:tr>
      <w:tr w:rsidR="00882A59" w:rsidRPr="00C60E82">
        <w:trPr>
          <w:cantSplit/>
        </w:trPr>
        <w:tc>
          <w:tcPr>
            <w:tcW w:w="9108" w:type="dxa"/>
          </w:tcPr>
          <w:p w:rsidR="00882A59" w:rsidRPr="00C60E82" w:rsidRDefault="00EB5897">
            <w:pPr>
              <w:rPr>
                <w:b/>
                <w:bCs/>
                <w:color w:val="404040" w:themeColor="text1" w:themeTint="BF"/>
              </w:rPr>
            </w:pPr>
            <w:r w:rsidRPr="00C60E82">
              <w:rPr>
                <w:b/>
                <w:bCs/>
                <w:color w:val="404040" w:themeColor="text1" w:themeTint="BF"/>
              </w:rPr>
              <w:t>Contract Owner</w:t>
            </w:r>
            <w:r w:rsidRPr="00C60E82">
              <w:rPr>
                <w:color w:val="404040" w:themeColor="text1" w:themeTint="BF"/>
              </w:rPr>
              <w:t xml:space="preserve"> – Oil company that loads products at another party’s oil depot.</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Delivery</w:t>
            </w:r>
            <w:r w:rsidRPr="00C60E82">
              <w:rPr>
                <w:color w:val="404040" w:themeColor="text1" w:themeTint="BF"/>
              </w:rPr>
              <w:t xml:space="preserve"> – Pre-scheduled load, scheduled by the contract owner typically as part of a shipment. To be delivered to the customer of the contract owner by the contract owner or contracted haulier.</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ERP</w:t>
            </w:r>
            <w:r w:rsidRPr="00C60E82">
              <w:rPr>
                <w:color w:val="404040" w:themeColor="text1" w:themeTint="BF"/>
              </w:rPr>
              <w:t xml:space="preserve"> – Enterprise Resource Planning system, e.g. SAP.</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Lifting</w:t>
            </w:r>
            <w:r w:rsidRPr="00C60E82">
              <w:rPr>
                <w:color w:val="404040" w:themeColor="text1" w:themeTint="BF"/>
              </w:rPr>
              <w:t xml:space="preserve"> – Loading of one or more products.</w:t>
            </w:r>
          </w:p>
          <w:p w:rsidR="00085545" w:rsidRDefault="00085545" w:rsidP="001B01F2">
            <w:pPr>
              <w:rPr>
                <w:color w:val="404040" w:themeColor="text1" w:themeTint="BF"/>
              </w:rPr>
            </w:pPr>
            <w:r w:rsidRPr="00C60E82">
              <w:rPr>
                <w:b/>
                <w:bCs/>
                <w:color w:val="404040" w:themeColor="text1" w:themeTint="BF"/>
              </w:rPr>
              <w:t>Lifting Controls</w:t>
            </w:r>
            <w:r w:rsidRPr="00C60E82">
              <w:rPr>
                <w:color w:val="404040" w:themeColor="text1" w:themeTint="BF"/>
              </w:rPr>
              <w:t xml:space="preserve"> –</w:t>
            </w:r>
            <w:r w:rsidR="001B01F2" w:rsidRPr="00C60E82">
              <w:rPr>
                <w:color w:val="404040" w:themeColor="text1" w:themeTint="BF"/>
              </w:rPr>
              <w:t xml:space="preserve"> The ability to authorize or refuse a load based on a customer’s position against their credit limit and/or allocation in real time.</w:t>
            </w:r>
          </w:p>
          <w:p w:rsidR="00F94B7C" w:rsidRPr="00C60E82" w:rsidRDefault="00F94B7C" w:rsidP="00F94B7C">
            <w:pPr>
              <w:rPr>
                <w:b/>
                <w:bCs/>
                <w:color w:val="404040" w:themeColor="text1" w:themeTint="BF"/>
              </w:rPr>
            </w:pPr>
            <w:r w:rsidRPr="00F94B7C">
              <w:rPr>
                <w:b/>
                <w:color w:val="404040" w:themeColor="text1" w:themeTint="BF"/>
              </w:rPr>
              <w:t>Nomination</w:t>
            </w:r>
            <w:r>
              <w:rPr>
                <w:color w:val="404040" w:themeColor="text1" w:themeTint="BF"/>
              </w:rPr>
              <w:t xml:space="preserve"> </w:t>
            </w:r>
            <w:r w:rsidRPr="00C60E82">
              <w:rPr>
                <w:color w:val="404040" w:themeColor="text1" w:themeTint="BF"/>
              </w:rPr>
              <w:t>–</w:t>
            </w:r>
            <w:r>
              <w:rPr>
                <w:color w:val="404040" w:themeColor="text1" w:themeTint="BF"/>
              </w:rPr>
              <w:t xml:space="preserve"> Scheduled primary transport trip. May be for a loading or discharging at an OSP.</w:t>
            </w:r>
          </w:p>
        </w:tc>
      </w:tr>
      <w:tr w:rsidR="00882A59" w:rsidRPr="00C60E82">
        <w:trPr>
          <w:cantSplit/>
        </w:trPr>
        <w:tc>
          <w:tcPr>
            <w:tcW w:w="9108" w:type="dxa"/>
          </w:tcPr>
          <w:p w:rsidR="00882A59" w:rsidRDefault="00EB5897">
            <w:pPr>
              <w:rPr>
                <w:color w:val="404040" w:themeColor="text1" w:themeTint="BF"/>
              </w:rPr>
            </w:pPr>
            <w:r w:rsidRPr="00C60E82">
              <w:rPr>
                <w:b/>
                <w:bCs/>
                <w:color w:val="404040" w:themeColor="text1" w:themeTint="BF"/>
              </w:rPr>
              <w:t>OSP</w:t>
            </w:r>
            <w:r w:rsidRPr="00C60E82">
              <w:rPr>
                <w:color w:val="404040" w:themeColor="text1" w:themeTint="BF"/>
              </w:rPr>
              <w:t xml:space="preserve"> – Outside Supply Point. Oil depot from a company other than the Contract Owner. Typically another oil company or terminal operator.</w:t>
            </w:r>
          </w:p>
          <w:p w:rsidR="007D28CF" w:rsidRPr="00C60E82" w:rsidRDefault="007D28CF" w:rsidP="007D28CF">
            <w:pPr>
              <w:rPr>
                <w:color w:val="404040" w:themeColor="text1" w:themeTint="BF"/>
              </w:rPr>
            </w:pPr>
            <w:r w:rsidRPr="007D28CF">
              <w:rPr>
                <w:b/>
                <w:color w:val="404040" w:themeColor="text1" w:themeTint="BF"/>
              </w:rPr>
              <w:t>PIDX</w:t>
            </w:r>
            <w:r>
              <w:rPr>
                <w:color w:val="404040" w:themeColor="text1" w:themeTint="BF"/>
              </w:rPr>
              <w:t xml:space="preserve"> </w:t>
            </w:r>
            <w:r w:rsidRPr="00C60E82">
              <w:rPr>
                <w:color w:val="404040" w:themeColor="text1" w:themeTint="BF"/>
              </w:rPr>
              <w:t>–</w:t>
            </w:r>
            <w:r>
              <w:rPr>
                <w:color w:val="404040" w:themeColor="text1" w:themeTint="BF"/>
              </w:rPr>
              <w:t xml:space="preserve"> Petroleum Industry Data Exchange. T</w:t>
            </w:r>
            <w:r w:rsidRPr="007D28CF">
              <w:rPr>
                <w:color w:val="404040" w:themeColor="text1" w:themeTint="BF"/>
              </w:rPr>
              <w:t>he American Petroleum Institute’s (API) committee on Electronic Business Standards and Processes</w:t>
            </w:r>
            <w:r>
              <w:rPr>
                <w:color w:val="404040" w:themeColor="text1" w:themeTint="BF"/>
              </w:rPr>
              <w:t>.</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Planned Pickup</w:t>
            </w:r>
            <w:r w:rsidRPr="00C60E82">
              <w:rPr>
                <w:color w:val="404040" w:themeColor="text1" w:themeTint="BF"/>
              </w:rPr>
              <w:t xml:space="preserve"> – Also referred to as Planned Order. An order, requested upfront by a customer of the contract owner, to be picked up by the customer or its contracted haulier.</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Ship-to</w:t>
            </w:r>
            <w:r w:rsidRPr="00C60E82">
              <w:rPr>
                <w:color w:val="404040" w:themeColor="text1" w:themeTint="BF"/>
              </w:rPr>
              <w:t xml:space="preserve"> – The end customer or final destination of a load. </w:t>
            </w:r>
            <w:r w:rsidRPr="00C60E82">
              <w:rPr>
                <w:color w:val="404040" w:themeColor="text1" w:themeTint="BF"/>
                <w:lang w:val="en-GB"/>
              </w:rPr>
              <w:t xml:space="preserve">The end </w:t>
            </w:r>
            <w:proofErr w:type="gramStart"/>
            <w:r w:rsidRPr="00C60E82">
              <w:rPr>
                <w:color w:val="404040" w:themeColor="text1" w:themeTint="BF"/>
                <w:lang w:val="en-GB"/>
              </w:rPr>
              <w:t>customer,</w:t>
            </w:r>
            <w:proofErr w:type="gramEnd"/>
            <w:r w:rsidRPr="00C60E82">
              <w:rPr>
                <w:color w:val="404040" w:themeColor="text1" w:themeTint="BF"/>
                <w:lang w:val="en-GB"/>
              </w:rPr>
              <w:t xml:space="preserve"> also referred to as the customer’s customer, of a contract.</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Shipment</w:t>
            </w:r>
            <w:r w:rsidRPr="00C60E82">
              <w:rPr>
                <w:color w:val="404040" w:themeColor="text1" w:themeTint="BF"/>
              </w:rPr>
              <w:t xml:space="preserve"> – Pre-scheduled load. Made up of one or more Deliveries. Also referred to as a trip.</w:t>
            </w:r>
          </w:p>
        </w:tc>
      </w:tr>
      <w:tr w:rsidR="00882A59" w:rsidRPr="00C60E82">
        <w:trPr>
          <w:cantSplit/>
        </w:trPr>
        <w:tc>
          <w:tcPr>
            <w:tcW w:w="9108" w:type="dxa"/>
          </w:tcPr>
          <w:p w:rsidR="0092433C" w:rsidRDefault="0092433C">
            <w:pPr>
              <w:rPr>
                <w:b/>
                <w:bCs/>
                <w:color w:val="404040" w:themeColor="text1" w:themeTint="BF"/>
              </w:rPr>
            </w:pPr>
            <w:r>
              <w:rPr>
                <w:b/>
                <w:bCs/>
                <w:color w:val="404040" w:themeColor="text1" w:themeTint="BF"/>
              </w:rPr>
              <w:t xml:space="preserve">Site – </w:t>
            </w:r>
            <w:r w:rsidRPr="0033522C">
              <w:rPr>
                <w:bCs/>
                <w:color w:val="404040" w:themeColor="text1" w:themeTint="BF"/>
              </w:rPr>
              <w:t xml:space="preserve">The </w:t>
            </w:r>
            <w:r>
              <w:rPr>
                <w:bCs/>
                <w:color w:val="404040" w:themeColor="text1" w:themeTint="BF"/>
              </w:rPr>
              <w:t>service station or convenience store where the load will be delivered after leaving the terminal.</w:t>
            </w:r>
          </w:p>
          <w:p w:rsidR="00882A59" w:rsidRPr="00C60E82" w:rsidRDefault="00EB5897">
            <w:pPr>
              <w:rPr>
                <w:color w:val="404040" w:themeColor="text1" w:themeTint="BF"/>
              </w:rPr>
            </w:pPr>
            <w:r w:rsidRPr="00C60E82">
              <w:rPr>
                <w:b/>
                <w:bCs/>
                <w:color w:val="404040" w:themeColor="text1" w:themeTint="BF"/>
              </w:rPr>
              <w:t>Sold-to</w:t>
            </w:r>
            <w:r w:rsidRPr="00C60E82">
              <w:rPr>
                <w:color w:val="404040" w:themeColor="text1" w:themeTint="BF"/>
              </w:rPr>
              <w:t xml:space="preserve"> – The primary customer of a load. The contract owner of a contract.</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Stockowner</w:t>
            </w:r>
            <w:r w:rsidRPr="00C60E82">
              <w:rPr>
                <w:color w:val="404040" w:themeColor="text1" w:themeTint="BF"/>
              </w:rPr>
              <w:t xml:space="preserve"> – Also referred to as Supplier or Stockholder. Owner of product in tanks at a Terminal.</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TAS</w:t>
            </w:r>
            <w:r w:rsidRPr="00C60E82">
              <w:rPr>
                <w:color w:val="404040" w:themeColor="text1" w:themeTint="BF"/>
              </w:rPr>
              <w:t xml:space="preserve"> – Terminal Automation System. System to authorize and automate truck loadings.</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Unplanned Pickup</w:t>
            </w:r>
            <w:r w:rsidRPr="00C60E82">
              <w:rPr>
                <w:color w:val="404040" w:themeColor="text1" w:themeTint="BF"/>
              </w:rPr>
              <w:t xml:space="preserve"> – Also referred to contract load or loading against a contract. A pickup at the OSP by the contract owner or a customer of the contract owner, against a contract between the contract owner and the OSP. The pickup is not announced upfront through any form, e.g. pre-notification through e-mail or fax or phone or pre-planning through a shipment or planned order.</w:t>
            </w:r>
          </w:p>
        </w:tc>
      </w:tr>
      <w:tr w:rsidR="00882A59" w:rsidRPr="00C60E82">
        <w:trPr>
          <w:cantSplit/>
        </w:trPr>
        <w:tc>
          <w:tcPr>
            <w:tcW w:w="9108" w:type="dxa"/>
          </w:tcPr>
          <w:p w:rsidR="00882A59" w:rsidRPr="00C60E82" w:rsidRDefault="00EB5897">
            <w:pPr>
              <w:rPr>
                <w:color w:val="404040" w:themeColor="text1" w:themeTint="BF"/>
              </w:rPr>
            </w:pPr>
            <w:r w:rsidRPr="00C60E82">
              <w:rPr>
                <w:b/>
                <w:bCs/>
                <w:color w:val="404040" w:themeColor="text1" w:themeTint="BF"/>
              </w:rPr>
              <w:t>XML</w:t>
            </w:r>
            <w:r w:rsidRPr="00C60E82">
              <w:rPr>
                <w:color w:val="404040" w:themeColor="text1" w:themeTint="BF"/>
              </w:rPr>
              <w:t xml:space="preserve"> – Extensible Markup Language, is a simplified subset of the Standard Generalized Markup Language (SGML, ISO 8879), which provides a file format for representing data, a schema for describing data structure, and a mechanism for extending an annotation HML with semantic information.</w:t>
            </w:r>
          </w:p>
        </w:tc>
      </w:tr>
    </w:tbl>
    <w:p w:rsidR="008D35D0" w:rsidRDefault="00B80647">
      <w:pPr>
        <w:pStyle w:val="Heading2"/>
        <w:rPr>
          <w:rFonts w:ascii="Arial" w:hAnsi="Arial"/>
        </w:rPr>
      </w:pPr>
      <w:bookmarkStart w:id="4" w:name="_Toc342333884"/>
      <w:r>
        <w:rPr>
          <w:rFonts w:ascii="Arial" w:hAnsi="Arial"/>
        </w:rPr>
        <w:t>PIDX</w:t>
      </w:r>
      <w:r w:rsidR="008D35D0">
        <w:rPr>
          <w:rFonts w:ascii="Arial" w:hAnsi="Arial"/>
        </w:rPr>
        <w:t xml:space="preserve"> Right </w:t>
      </w:r>
      <w:proofErr w:type="gramStart"/>
      <w:r w:rsidR="008D35D0">
        <w:rPr>
          <w:rFonts w:ascii="Arial" w:hAnsi="Arial"/>
        </w:rPr>
        <w:t>To</w:t>
      </w:r>
      <w:proofErr w:type="gramEnd"/>
      <w:r w:rsidR="008D35D0">
        <w:rPr>
          <w:rFonts w:ascii="Arial" w:hAnsi="Arial"/>
        </w:rPr>
        <w:t xml:space="preserve"> Lift Command Overview</w:t>
      </w:r>
      <w:bookmarkEnd w:id="4"/>
    </w:p>
    <w:p w:rsidR="00557985" w:rsidRDefault="00A26FAF" w:rsidP="00102C2D">
      <w:pPr>
        <w:ind w:left="540"/>
        <w:rPr>
          <w:b/>
        </w:rPr>
      </w:pPr>
      <w:r w:rsidRPr="0033522C">
        <w:t xml:space="preserve">There are 4 </w:t>
      </w:r>
      <w:r w:rsidR="00557985">
        <w:t>basic structures</w:t>
      </w:r>
      <w:r w:rsidR="00833A83" w:rsidRPr="0033522C">
        <w:t xml:space="preserve"> in the right to lift protocol: </w:t>
      </w:r>
    </w:p>
    <w:p w:rsidR="00557985" w:rsidRPr="00102C2D" w:rsidRDefault="00557985" w:rsidP="00102C2D">
      <w:pPr>
        <w:pStyle w:val="ListParagraph"/>
        <w:numPr>
          <w:ilvl w:val="0"/>
          <w:numId w:val="54"/>
        </w:numPr>
        <w:ind w:left="900"/>
        <w:rPr>
          <w:b/>
        </w:rPr>
      </w:pPr>
      <w:r>
        <w:t>Authorization request</w:t>
      </w:r>
    </w:p>
    <w:p w:rsidR="00557985" w:rsidRPr="00102C2D" w:rsidRDefault="00557985" w:rsidP="00102C2D">
      <w:pPr>
        <w:pStyle w:val="ListParagraph"/>
        <w:numPr>
          <w:ilvl w:val="0"/>
          <w:numId w:val="54"/>
        </w:numPr>
        <w:ind w:left="900"/>
        <w:rPr>
          <w:b/>
        </w:rPr>
      </w:pPr>
      <w:r>
        <w:t>Authorization response</w:t>
      </w:r>
    </w:p>
    <w:p w:rsidR="00557985" w:rsidRPr="00102C2D" w:rsidRDefault="00557985" w:rsidP="00102C2D">
      <w:pPr>
        <w:pStyle w:val="ListParagraph"/>
        <w:numPr>
          <w:ilvl w:val="0"/>
          <w:numId w:val="54"/>
        </w:numPr>
        <w:ind w:left="900"/>
        <w:rPr>
          <w:b/>
        </w:rPr>
      </w:pPr>
      <w:r>
        <w:t>BOL</w:t>
      </w:r>
    </w:p>
    <w:p w:rsidR="00A26FAF" w:rsidRPr="00102C2D" w:rsidRDefault="00557985" w:rsidP="00102C2D">
      <w:pPr>
        <w:pStyle w:val="ListParagraph"/>
        <w:numPr>
          <w:ilvl w:val="0"/>
          <w:numId w:val="54"/>
        </w:numPr>
        <w:ind w:left="900"/>
        <w:rPr>
          <w:b/>
        </w:rPr>
      </w:pPr>
      <w:r>
        <w:t>BOL response</w:t>
      </w:r>
    </w:p>
    <w:p w:rsidR="00557985" w:rsidRDefault="00557985" w:rsidP="0033522C">
      <w:pPr>
        <w:spacing w:before="120" w:after="120"/>
        <w:ind w:left="540"/>
      </w:pPr>
      <w:r>
        <w:t>The content of the data used in each structure will vary depending on the business scenarios, some of which are detailed in section 2 of</w:t>
      </w:r>
      <w:r w:rsidR="007E256C">
        <w:t xml:space="preserve"> this document.</w:t>
      </w:r>
    </w:p>
    <w:p w:rsidR="00CB0676" w:rsidRDefault="00CB0676" w:rsidP="0033522C">
      <w:pPr>
        <w:spacing w:before="120" w:after="120"/>
        <w:ind w:left="547"/>
      </w:pPr>
      <w:r>
        <w:t xml:space="preserve">The terminal automation system (TAS) will should support 2 communications processes for this PIDX Right to </w:t>
      </w:r>
      <w:proofErr w:type="gramStart"/>
      <w:r>
        <w:t>Lift</w:t>
      </w:r>
      <w:proofErr w:type="gramEnd"/>
      <w:r>
        <w:t xml:space="preserve"> protocol: </w:t>
      </w:r>
    </w:p>
    <w:p w:rsidR="00CB0676" w:rsidRDefault="00CB0676" w:rsidP="0033522C">
      <w:pPr>
        <w:pStyle w:val="ListParagraph"/>
        <w:numPr>
          <w:ilvl w:val="0"/>
          <w:numId w:val="51"/>
        </w:numPr>
        <w:spacing w:before="120" w:after="120"/>
      </w:pPr>
      <w:r w:rsidRPr="0033522C">
        <w:rPr>
          <w:b/>
        </w:rPr>
        <w:t>Authorization and BOL Send:</w:t>
      </w:r>
      <w:r>
        <w:t xml:space="preserve"> The TAS will request authorization from the clearing house before loading and send an electronic BOL when loading has completed.</w:t>
      </w:r>
    </w:p>
    <w:p w:rsidR="00CB0676" w:rsidRDefault="00CB0676" w:rsidP="0033522C">
      <w:pPr>
        <w:pStyle w:val="ListParagraph"/>
        <w:numPr>
          <w:ilvl w:val="0"/>
          <w:numId w:val="51"/>
        </w:numPr>
        <w:spacing w:before="120" w:after="120"/>
      </w:pPr>
      <w:r w:rsidRPr="0033522C">
        <w:rPr>
          <w:b/>
        </w:rPr>
        <w:t>BOL Send Only:</w:t>
      </w:r>
      <w:r>
        <w:t xml:space="preserve"> The TAS will send an electronic BOL when loading has completed.</w:t>
      </w:r>
    </w:p>
    <w:p w:rsidR="00833A83" w:rsidRDefault="00CB0676" w:rsidP="0033522C">
      <w:pPr>
        <w:spacing w:before="120" w:after="120"/>
        <w:ind w:left="547"/>
      </w:pPr>
      <w:r>
        <w:t xml:space="preserve">For </w:t>
      </w:r>
      <w:r w:rsidRPr="00CB0676">
        <w:t>Authorization and BOL Send</w:t>
      </w:r>
      <w:r>
        <w:t>, t</w:t>
      </w:r>
      <w:r w:rsidR="00557985" w:rsidRPr="0033522C">
        <w:t xml:space="preserve">he </w:t>
      </w:r>
      <w:r w:rsidR="00557985">
        <w:t>basic communic</w:t>
      </w:r>
      <w:r w:rsidR="007E256C">
        <w:t xml:space="preserve">ations process </w:t>
      </w:r>
      <w:r w:rsidR="00762B03">
        <w:t>is as follows</w:t>
      </w:r>
      <w:r w:rsidR="00557985">
        <w:t>:</w:t>
      </w:r>
    </w:p>
    <w:p w:rsidR="00557985" w:rsidRDefault="00557985" w:rsidP="0033522C">
      <w:pPr>
        <w:pStyle w:val="ListParagraph"/>
        <w:numPr>
          <w:ilvl w:val="0"/>
          <w:numId w:val="48"/>
        </w:numPr>
        <w:spacing w:before="120" w:after="120"/>
        <w:contextualSpacing w:val="0"/>
      </w:pPr>
      <w:r>
        <w:t>When the driver arrives at the terminal to load, the TAS will send the authorization request message to the clearing house to confirm the driver’s ability to load.</w:t>
      </w:r>
    </w:p>
    <w:p w:rsidR="00557985" w:rsidRDefault="00557985" w:rsidP="0033522C">
      <w:pPr>
        <w:pStyle w:val="ListParagraph"/>
        <w:numPr>
          <w:ilvl w:val="0"/>
          <w:numId w:val="48"/>
        </w:numPr>
        <w:spacing w:before="120" w:after="120"/>
        <w:contextualSpacing w:val="0"/>
      </w:pPr>
      <w:r>
        <w:t>The clearing house will perform their validations and send the authorization response message to the TAS.</w:t>
      </w:r>
    </w:p>
    <w:p w:rsidR="00557985" w:rsidRDefault="00557985" w:rsidP="0033522C">
      <w:pPr>
        <w:pStyle w:val="ListParagraph"/>
        <w:numPr>
          <w:ilvl w:val="0"/>
          <w:numId w:val="48"/>
        </w:numPr>
        <w:spacing w:before="120" w:after="120"/>
        <w:contextualSpacing w:val="0"/>
      </w:pPr>
      <w:r>
        <w:t>After loading, the TAS will send the BOL message to the clearing house.</w:t>
      </w:r>
    </w:p>
    <w:p w:rsidR="00557985" w:rsidRDefault="00557985" w:rsidP="0033522C">
      <w:pPr>
        <w:pStyle w:val="ListParagraph"/>
        <w:numPr>
          <w:ilvl w:val="0"/>
          <w:numId w:val="48"/>
        </w:numPr>
        <w:spacing w:before="120" w:after="120"/>
        <w:contextualSpacing w:val="0"/>
      </w:pPr>
      <w:r>
        <w:t>After receiving the BOL message, the clearing house will send the BOL response back to the TAS.</w:t>
      </w:r>
    </w:p>
    <w:p w:rsidR="00CB0676" w:rsidRDefault="00CB0676" w:rsidP="00CB0676">
      <w:pPr>
        <w:spacing w:before="120" w:after="120"/>
        <w:ind w:left="547"/>
      </w:pPr>
      <w:r>
        <w:t xml:space="preserve">For </w:t>
      </w:r>
      <w:r w:rsidRPr="00CB0676">
        <w:t>BOL Send</w:t>
      </w:r>
      <w:r>
        <w:t xml:space="preserve"> Only, t</w:t>
      </w:r>
      <w:r w:rsidRPr="00E55954">
        <w:t xml:space="preserve">he </w:t>
      </w:r>
      <w:r>
        <w:t>basic communications process is as follows:</w:t>
      </w:r>
    </w:p>
    <w:p w:rsidR="00CB0676" w:rsidRDefault="00CB0676" w:rsidP="00CB0676">
      <w:pPr>
        <w:pStyle w:val="ListParagraph"/>
        <w:numPr>
          <w:ilvl w:val="0"/>
          <w:numId w:val="52"/>
        </w:numPr>
        <w:spacing w:before="120" w:after="120"/>
        <w:contextualSpacing w:val="0"/>
      </w:pPr>
      <w:r>
        <w:t>After loading, the TAS will send the BOL message to the clearing house.</w:t>
      </w:r>
    </w:p>
    <w:p w:rsidR="00CB0676" w:rsidRDefault="00CB0676" w:rsidP="00CB0676">
      <w:pPr>
        <w:pStyle w:val="ListParagraph"/>
        <w:numPr>
          <w:ilvl w:val="0"/>
          <w:numId w:val="52"/>
        </w:numPr>
        <w:spacing w:before="120" w:after="120"/>
        <w:contextualSpacing w:val="0"/>
      </w:pPr>
      <w:r>
        <w:t>After receiving the BOL message, the clearing house will send the BOL response back to the TAS.</w:t>
      </w:r>
    </w:p>
    <w:p w:rsidR="00833A83" w:rsidRPr="0033522C" w:rsidRDefault="00762B03" w:rsidP="0033522C">
      <w:pPr>
        <w:spacing w:before="120" w:after="120"/>
        <w:ind w:left="547"/>
      </w:pPr>
      <w:r>
        <w:t>The following sections give an overview of the content and format of each of these basic structures.</w:t>
      </w:r>
    </w:p>
    <w:p w:rsidR="00833A83" w:rsidRDefault="00833A83">
      <w:pPr>
        <w:spacing w:before="0"/>
        <w:rPr>
          <w:rFonts w:ascii="Arial Bold" w:hAnsi="Arial Bold"/>
          <w:b/>
          <w:bCs/>
          <w:color w:val="404040" w:themeColor="text1" w:themeTint="BF"/>
          <w:szCs w:val="26"/>
        </w:rPr>
      </w:pPr>
      <w:r>
        <w:br w:type="page"/>
      </w:r>
    </w:p>
    <w:p w:rsidR="008D35D0" w:rsidRDefault="008D35D0" w:rsidP="008D35D0">
      <w:pPr>
        <w:pStyle w:val="Heading3"/>
      </w:pPr>
      <w:bookmarkStart w:id="5" w:name="_Toc342333885"/>
      <w:r>
        <w:t>PIDX</w:t>
      </w:r>
      <w:r w:rsidR="006A06D7">
        <w:t xml:space="preserve"> </w:t>
      </w:r>
      <w:r>
        <w:t>Authorization</w:t>
      </w:r>
      <w:r w:rsidR="006A06D7">
        <w:t xml:space="preserve"> </w:t>
      </w:r>
      <w:r>
        <w:t>Request</w:t>
      </w:r>
      <w:bookmarkEnd w:id="5"/>
    </w:p>
    <w:p w:rsidR="006A06D7" w:rsidRPr="006A06D7" w:rsidRDefault="006A06D7" w:rsidP="006A06D7">
      <w:pPr>
        <w:ind w:left="720"/>
      </w:pPr>
      <w:r>
        <w:t xml:space="preserve">The basic PIDX Authorization Request structure is shown below. </w:t>
      </w:r>
    </w:p>
    <w:p w:rsidR="008D35D0" w:rsidRDefault="007E66BE" w:rsidP="008D35D0">
      <w:pPr>
        <w:ind w:left="720"/>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459pt">
            <v:imagedata r:id="rId13" o:title="UsageImage1"/>
          </v:shape>
        </w:pict>
      </w:r>
    </w:p>
    <w:p w:rsidR="000164C2" w:rsidRDefault="000164C2" w:rsidP="008D35D0">
      <w:pPr>
        <w:ind w:left="720"/>
      </w:pPr>
    </w:p>
    <w:p w:rsidR="006A06D7" w:rsidRDefault="006A06D7" w:rsidP="0033522C">
      <w:pPr>
        <w:spacing w:before="120" w:after="120"/>
        <w:ind w:left="720"/>
      </w:pPr>
      <w:r>
        <w:t xml:space="preserve">A quick overview of the structure shows the primary </w:t>
      </w:r>
      <w:r w:rsidR="000164C2">
        <w:t xml:space="preserve">data </w:t>
      </w:r>
      <w:r>
        <w:t xml:space="preserve">categories </w:t>
      </w:r>
      <w:r w:rsidR="000164C2">
        <w:t>are:</w:t>
      </w:r>
      <w:r>
        <w:t xml:space="preserve">  </w:t>
      </w:r>
    </w:p>
    <w:p w:rsidR="006A06D7" w:rsidRDefault="006A06D7" w:rsidP="0033522C">
      <w:pPr>
        <w:pStyle w:val="ListParagraph"/>
        <w:numPr>
          <w:ilvl w:val="0"/>
          <w:numId w:val="42"/>
        </w:numPr>
        <w:spacing w:before="120" w:after="120"/>
        <w:contextualSpacing w:val="0"/>
      </w:pPr>
      <w:proofErr w:type="spellStart"/>
      <w:r>
        <w:t>AuthParties</w:t>
      </w:r>
      <w:proofErr w:type="spellEnd"/>
      <w:r>
        <w:t xml:space="preserve"> – This is where seller, buyer</w:t>
      </w:r>
      <w:r w:rsidR="009B67F6">
        <w:t>,</w:t>
      </w:r>
      <w:r>
        <w:t xml:space="preserve"> stockowner</w:t>
      </w:r>
      <w:r w:rsidR="009B67F6">
        <w:t>,</w:t>
      </w:r>
      <w:r>
        <w:t xml:space="preserve"> or </w:t>
      </w:r>
      <w:r w:rsidR="009B67F6">
        <w:t xml:space="preserve">any </w:t>
      </w:r>
      <w:r>
        <w:t>additional authorizing party cha</w:t>
      </w:r>
      <w:r w:rsidR="00BA39C6">
        <w:t>i</w:t>
      </w:r>
      <w:r>
        <w:t>ns can be found.</w:t>
      </w:r>
    </w:p>
    <w:p w:rsidR="006A06D7" w:rsidRDefault="006A06D7" w:rsidP="0033522C">
      <w:pPr>
        <w:pStyle w:val="ListParagraph"/>
        <w:numPr>
          <w:ilvl w:val="0"/>
          <w:numId w:val="42"/>
        </w:numPr>
        <w:spacing w:before="120" w:after="120"/>
        <w:contextualSpacing w:val="0"/>
      </w:pPr>
      <w:proofErr w:type="spellStart"/>
      <w:r>
        <w:t>AuthTransport</w:t>
      </w:r>
      <w:proofErr w:type="spellEnd"/>
      <w:r>
        <w:t xml:space="preserve"> – Contains information related to Carrier/Hauliers and MOT.</w:t>
      </w:r>
    </w:p>
    <w:p w:rsidR="006A06D7" w:rsidRDefault="006A06D7" w:rsidP="0033522C">
      <w:pPr>
        <w:pStyle w:val="ListParagraph"/>
        <w:numPr>
          <w:ilvl w:val="0"/>
          <w:numId w:val="42"/>
        </w:numPr>
        <w:spacing w:before="120" w:after="120"/>
        <w:contextualSpacing w:val="0"/>
      </w:pPr>
      <w:r>
        <w:t>Location – Contains information about where the product is being picked up</w:t>
      </w:r>
      <w:r w:rsidR="009B67F6">
        <w:t xml:space="preserve"> from</w:t>
      </w:r>
      <w:r>
        <w:t>.</w:t>
      </w:r>
    </w:p>
    <w:p w:rsidR="006A06D7" w:rsidRDefault="006A06D7" w:rsidP="0033522C">
      <w:pPr>
        <w:pStyle w:val="ListParagraph"/>
        <w:numPr>
          <w:ilvl w:val="0"/>
          <w:numId w:val="42"/>
        </w:numPr>
        <w:spacing w:before="120" w:after="120"/>
        <w:contextualSpacing w:val="0"/>
      </w:pPr>
      <w:r>
        <w:t xml:space="preserve">Planned Lifting – </w:t>
      </w:r>
      <w:proofErr w:type="spellStart"/>
      <w:r w:rsidR="000D401C">
        <w:t>LoadingType</w:t>
      </w:r>
      <w:proofErr w:type="spellEnd"/>
      <w:r w:rsidR="000D401C">
        <w:t xml:space="preserve"> element in Planned L</w:t>
      </w:r>
      <w:r>
        <w:t>iftings will control what is sent back in the response.</w:t>
      </w:r>
    </w:p>
    <w:p w:rsidR="00833A83" w:rsidRDefault="000164C2" w:rsidP="0033522C">
      <w:pPr>
        <w:spacing w:before="120" w:after="120"/>
        <w:ind w:left="720"/>
      </w:pPr>
      <w:r>
        <w:t>Each section and the values to be placed in the XML elements will be discussed in greater detail in Section 2.</w:t>
      </w:r>
    </w:p>
    <w:p w:rsidR="000D401C" w:rsidRDefault="000D401C" w:rsidP="0033522C">
      <w:pPr>
        <w:spacing w:before="120" w:after="120"/>
        <w:ind w:left="720"/>
        <w:rPr>
          <w:rFonts w:ascii="Arial Bold" w:hAnsi="Arial Bold"/>
          <w:b/>
          <w:bCs/>
          <w:color w:val="404040" w:themeColor="text1" w:themeTint="BF"/>
          <w:szCs w:val="26"/>
        </w:rPr>
      </w:pPr>
    </w:p>
    <w:p w:rsidR="008D35D0" w:rsidRDefault="008D35D0" w:rsidP="0033522C">
      <w:pPr>
        <w:pStyle w:val="Heading3"/>
        <w:spacing w:before="120" w:after="120"/>
      </w:pPr>
      <w:bookmarkStart w:id="6" w:name="_Toc342333886"/>
      <w:r>
        <w:t>PIDX</w:t>
      </w:r>
      <w:r w:rsidR="000164C2">
        <w:t xml:space="preserve"> </w:t>
      </w:r>
      <w:r>
        <w:t>Authorization</w:t>
      </w:r>
      <w:r w:rsidR="000164C2">
        <w:t xml:space="preserve"> </w:t>
      </w:r>
      <w:r>
        <w:t>Response</w:t>
      </w:r>
      <w:bookmarkEnd w:id="6"/>
    </w:p>
    <w:p w:rsidR="000164C2" w:rsidRDefault="000164C2" w:rsidP="000164C2">
      <w:pPr>
        <w:ind w:left="720"/>
      </w:pPr>
      <w:r>
        <w:t>The Basic Response Structure is shown below.</w:t>
      </w:r>
    </w:p>
    <w:p w:rsidR="000164C2" w:rsidRDefault="007E66BE" w:rsidP="000164C2">
      <w:pPr>
        <w:ind w:left="720"/>
      </w:pPr>
      <w:r>
        <w:rPr>
          <w:noProof/>
          <w:sz w:val="24"/>
        </w:rPr>
        <w:pict>
          <v:shape id="_x0000_i1026" type="#_x0000_t75" style="width:408.75pt;height:499.5pt">
            <v:imagedata r:id="rId14" o:title="UsageImage2"/>
          </v:shape>
        </w:pict>
      </w:r>
    </w:p>
    <w:p w:rsidR="000164C2" w:rsidRDefault="000164C2" w:rsidP="0033522C">
      <w:pPr>
        <w:spacing w:before="120" w:after="120"/>
        <w:ind w:left="720"/>
      </w:pPr>
      <w:r>
        <w:t xml:space="preserve">A quick overview of the structure shows the primary data categories are:  </w:t>
      </w:r>
    </w:p>
    <w:p w:rsidR="000164C2" w:rsidRDefault="000164C2" w:rsidP="0033522C">
      <w:pPr>
        <w:pStyle w:val="ListParagraph"/>
        <w:numPr>
          <w:ilvl w:val="0"/>
          <w:numId w:val="44"/>
        </w:numPr>
        <w:spacing w:before="120" w:after="120"/>
        <w:contextualSpacing w:val="0"/>
      </w:pPr>
      <w:proofErr w:type="spellStart"/>
      <w:r>
        <w:t>AuthParties</w:t>
      </w:r>
      <w:proofErr w:type="spellEnd"/>
      <w:r>
        <w:t xml:space="preserve"> – This data is echoed back from the Authorization Request message.</w:t>
      </w:r>
    </w:p>
    <w:p w:rsidR="000164C2" w:rsidRDefault="000164C2" w:rsidP="0033522C">
      <w:pPr>
        <w:pStyle w:val="ListParagraph"/>
        <w:numPr>
          <w:ilvl w:val="0"/>
          <w:numId w:val="44"/>
        </w:numPr>
        <w:spacing w:before="120" w:after="120"/>
        <w:contextualSpacing w:val="0"/>
      </w:pPr>
      <w:r>
        <w:t xml:space="preserve">Response Info - Contains </w:t>
      </w:r>
      <w:r w:rsidR="00DC798D">
        <w:t>the Authorization Response (AUTH/DENY), as well as supporting information for the Response in the form of an Error or Authorization Number.</w:t>
      </w:r>
    </w:p>
    <w:p w:rsidR="000164C2" w:rsidRDefault="000164C2" w:rsidP="0033522C">
      <w:pPr>
        <w:pStyle w:val="ListParagraph"/>
        <w:numPr>
          <w:ilvl w:val="0"/>
          <w:numId w:val="44"/>
        </w:numPr>
        <w:spacing w:before="120" w:after="120"/>
        <w:contextualSpacing w:val="0"/>
      </w:pPr>
      <w:r>
        <w:t xml:space="preserve">Product List – The product list contains the list of products and potential amounts to be loaded.  </w:t>
      </w:r>
      <w:r w:rsidR="00DC798D">
        <w:t xml:space="preserve">The </w:t>
      </w:r>
      <w:r>
        <w:t>Loadin</w:t>
      </w:r>
      <w:r w:rsidR="00DC798D">
        <w:t>g Reference ID should is related to the product being loaded and should be returned with any products loaded against the product listed</w:t>
      </w:r>
      <w:r w:rsidR="00A46F80">
        <w:t xml:space="preserve">. </w:t>
      </w:r>
    </w:p>
    <w:p w:rsidR="00A46F80" w:rsidRDefault="00A46F80" w:rsidP="0033522C">
      <w:pPr>
        <w:pStyle w:val="ListParagraph"/>
        <w:numPr>
          <w:ilvl w:val="0"/>
          <w:numId w:val="44"/>
        </w:numPr>
        <w:spacing w:before="120" w:after="120"/>
        <w:contextualSpacing w:val="0"/>
      </w:pPr>
      <w:r>
        <w:t xml:space="preserve">Order Info – If the </w:t>
      </w:r>
      <w:proofErr w:type="spellStart"/>
      <w:r>
        <w:t>LoadingType</w:t>
      </w:r>
      <w:proofErr w:type="spellEnd"/>
      <w:r>
        <w:t xml:space="preserve"> was </w:t>
      </w:r>
      <w:proofErr w:type="spellStart"/>
      <w:r>
        <w:t>RemoteRealtimeDownload</w:t>
      </w:r>
      <w:proofErr w:type="spellEnd"/>
      <w:r>
        <w:t xml:space="preserve">, then the entire order or shipment from the Clearing House will be placed in the Response.  </w:t>
      </w:r>
    </w:p>
    <w:p w:rsidR="008D35D0" w:rsidRPr="0033522C" w:rsidRDefault="008D35D0" w:rsidP="0033522C">
      <w:pPr>
        <w:pStyle w:val="Heading3"/>
        <w:spacing w:before="120" w:after="120"/>
        <w:rPr>
          <w:color w:val="auto"/>
        </w:rPr>
      </w:pPr>
      <w:bookmarkStart w:id="7" w:name="_Toc342333887"/>
      <w:r w:rsidRPr="0033522C">
        <w:rPr>
          <w:color w:val="auto"/>
        </w:rPr>
        <w:t>PIDXBOL</w:t>
      </w:r>
      <w:bookmarkEnd w:id="7"/>
    </w:p>
    <w:p w:rsidR="00A46F80" w:rsidRDefault="00A46F80" w:rsidP="0033522C">
      <w:pPr>
        <w:spacing w:before="120" w:after="120"/>
        <w:ind w:left="720"/>
      </w:pPr>
      <w:r>
        <w:t>The Data structure for the PIDX BOL is quite complex and is contained in a separate file.  The Primary sections of the BOL record are listed below:</w:t>
      </w:r>
    </w:p>
    <w:p w:rsidR="00A46F80" w:rsidRDefault="00A46F80" w:rsidP="0033522C">
      <w:pPr>
        <w:pStyle w:val="ListParagraph"/>
        <w:numPr>
          <w:ilvl w:val="0"/>
          <w:numId w:val="45"/>
        </w:numPr>
        <w:spacing w:before="120" w:after="120"/>
        <w:contextualSpacing w:val="0"/>
      </w:pPr>
      <w:r>
        <w:t>Action Code – Contains information related to what the type of data is in the document.</w:t>
      </w:r>
    </w:p>
    <w:p w:rsidR="00A46F80" w:rsidRDefault="00AD7F23" w:rsidP="0033522C">
      <w:pPr>
        <w:pStyle w:val="ListParagraph"/>
        <w:numPr>
          <w:ilvl w:val="0"/>
          <w:numId w:val="45"/>
        </w:numPr>
        <w:spacing w:before="120" w:after="120"/>
        <w:contextualSpacing w:val="0"/>
      </w:pPr>
      <w:r>
        <w:t xml:space="preserve">The header record contains </w:t>
      </w:r>
      <w:r w:rsidR="00A46F80">
        <w:t>Document Data related to action code.</w:t>
      </w:r>
    </w:p>
    <w:p w:rsidR="00A46F80" w:rsidRDefault="00A46F80" w:rsidP="0033522C">
      <w:pPr>
        <w:pStyle w:val="ListParagraph"/>
        <w:numPr>
          <w:ilvl w:val="0"/>
          <w:numId w:val="45"/>
        </w:numPr>
        <w:spacing w:before="120" w:after="120"/>
        <w:contextualSpacing w:val="0"/>
      </w:pPr>
      <w:r>
        <w:t xml:space="preserve">Location Data – </w:t>
      </w:r>
      <w:r w:rsidR="00AD7F23">
        <w:t>Terminal/Depot data</w:t>
      </w:r>
    </w:p>
    <w:p w:rsidR="00AD7F23" w:rsidRDefault="00A46F80" w:rsidP="0033522C">
      <w:pPr>
        <w:pStyle w:val="ListParagraph"/>
        <w:numPr>
          <w:ilvl w:val="0"/>
          <w:numId w:val="45"/>
        </w:numPr>
        <w:spacing w:before="120" w:after="120"/>
        <w:contextualSpacing w:val="0"/>
      </w:pPr>
      <w:r>
        <w:t xml:space="preserve">Document Reference Data </w:t>
      </w:r>
      <w:r w:rsidR="00AD7F23">
        <w:t>(contained in various elements on the root portion of the document).</w:t>
      </w:r>
    </w:p>
    <w:p w:rsidR="00A46F80" w:rsidRDefault="00A53C66" w:rsidP="0033522C">
      <w:pPr>
        <w:pStyle w:val="ListParagraph"/>
        <w:numPr>
          <w:ilvl w:val="0"/>
          <w:numId w:val="45"/>
        </w:numPr>
        <w:spacing w:before="120" w:after="120"/>
        <w:contextualSpacing w:val="0"/>
      </w:pPr>
      <w:r>
        <w:t>Partner/Party</w:t>
      </w:r>
      <w:r w:rsidR="00A46F80">
        <w:t xml:space="preserve"> data</w:t>
      </w:r>
      <w:r w:rsidR="00AD7F23">
        <w:t xml:space="preserve"> – </w:t>
      </w:r>
      <w:r w:rsidR="007E66BE">
        <w:t>Seller/</w:t>
      </w:r>
      <w:proofErr w:type="spellStart"/>
      <w:r w:rsidR="007E66BE">
        <w:t>ThirdParty</w:t>
      </w:r>
      <w:proofErr w:type="spellEnd"/>
      <w:r w:rsidR="007E66BE">
        <w:t>/Consignee</w:t>
      </w:r>
      <w:r w:rsidR="007E66BE">
        <w:t xml:space="preserve"> – Are </w:t>
      </w:r>
      <w:proofErr w:type="gramStart"/>
      <w:r w:rsidR="007E66BE">
        <w:t>Required</w:t>
      </w:r>
      <w:proofErr w:type="gramEnd"/>
      <w:r w:rsidR="007E66BE">
        <w:t xml:space="preserve"> (if </w:t>
      </w:r>
      <w:proofErr w:type="spellStart"/>
      <w:r w:rsidR="007E66BE">
        <w:t>ThirdParty</w:t>
      </w:r>
      <w:proofErr w:type="spellEnd"/>
      <w:r w:rsidR="007E66BE">
        <w:t xml:space="preserve"> is available which would be the party the Seller is purchasing Product From), Optional Seller specific data can be specified as well, like </w:t>
      </w:r>
      <w:proofErr w:type="spellStart"/>
      <w:r w:rsidR="00AD7F23">
        <w:t>Soldto</w:t>
      </w:r>
      <w:proofErr w:type="spellEnd"/>
      <w:r w:rsidR="007E66BE">
        <w:t xml:space="preserve">, </w:t>
      </w:r>
      <w:proofErr w:type="spellStart"/>
      <w:r w:rsidR="00AD7F23">
        <w:t>ShipTo</w:t>
      </w:r>
      <w:proofErr w:type="spellEnd"/>
      <w:r w:rsidR="007E66BE">
        <w:t xml:space="preserve">, and </w:t>
      </w:r>
      <w:proofErr w:type="spellStart"/>
      <w:r w:rsidR="00AD7F23">
        <w:t>DeliveredTo</w:t>
      </w:r>
      <w:proofErr w:type="spellEnd"/>
      <w:r w:rsidR="007E66BE">
        <w:t xml:space="preserve"> data.</w:t>
      </w:r>
    </w:p>
    <w:p w:rsidR="00A46F80" w:rsidRDefault="00A46F80" w:rsidP="0033522C">
      <w:pPr>
        <w:pStyle w:val="ListParagraph"/>
        <w:numPr>
          <w:ilvl w:val="0"/>
          <w:numId w:val="45"/>
        </w:numPr>
        <w:spacing w:before="120" w:after="120"/>
        <w:contextualSpacing w:val="0"/>
      </w:pPr>
      <w:r>
        <w:t xml:space="preserve">Activity Timing </w:t>
      </w:r>
      <w:r w:rsidR="00A53C66">
        <w:t>– Contains Timing related data in local terminal time zone.</w:t>
      </w:r>
    </w:p>
    <w:p w:rsidR="00A46F80" w:rsidRDefault="00A46F80" w:rsidP="0033522C">
      <w:pPr>
        <w:pStyle w:val="ListParagraph"/>
        <w:numPr>
          <w:ilvl w:val="0"/>
          <w:numId w:val="45"/>
        </w:numPr>
        <w:spacing w:before="120" w:after="120"/>
        <w:contextualSpacing w:val="0"/>
      </w:pPr>
      <w:r>
        <w:t xml:space="preserve">Transport Data – This is a complex structure that contains the Haulier and Engine information as well as the products loaded on the transport. Within the </w:t>
      </w:r>
      <w:proofErr w:type="spellStart"/>
      <w:r>
        <w:t>LoadingParts</w:t>
      </w:r>
      <w:proofErr w:type="spellEnd"/>
      <w:r>
        <w:t xml:space="preserve"> section (which would be the trailer</w:t>
      </w:r>
      <w:r w:rsidR="009B67F6" w:rsidRPr="009B67F6">
        <w:t xml:space="preserve"> </w:t>
      </w:r>
      <w:r w:rsidR="00AD7F23">
        <w:t>if the MOT was Truck)</w:t>
      </w:r>
      <w:r w:rsidR="009B67F6">
        <w:t>,</w:t>
      </w:r>
      <w:r>
        <w:t xml:space="preserve"> the following data sections are refe</w:t>
      </w:r>
      <w:r w:rsidR="009B67F6">
        <w:t>re</w:t>
      </w:r>
      <w:r>
        <w:t>nced.</w:t>
      </w:r>
    </w:p>
    <w:p w:rsidR="00A46F80" w:rsidRDefault="00A46F80" w:rsidP="0033522C">
      <w:pPr>
        <w:pStyle w:val="ListParagraph"/>
        <w:numPr>
          <w:ilvl w:val="1"/>
          <w:numId w:val="45"/>
        </w:numPr>
        <w:spacing w:before="120" w:after="120"/>
        <w:contextualSpacing w:val="0"/>
      </w:pPr>
      <w:r>
        <w:t>Loading Part Identification – Identifies information related to that loading part or trailer.</w:t>
      </w:r>
    </w:p>
    <w:p w:rsidR="00A46F80" w:rsidRDefault="00A46F80" w:rsidP="0033522C">
      <w:pPr>
        <w:pStyle w:val="ListParagraph"/>
        <w:numPr>
          <w:ilvl w:val="1"/>
          <w:numId w:val="45"/>
        </w:numPr>
        <w:spacing w:before="120" w:after="120"/>
        <w:contextualSpacing w:val="0"/>
      </w:pPr>
      <w:r>
        <w:t>Contents – The contents for the Loading Part are contained in an</w:t>
      </w:r>
      <w:r w:rsidR="009B67F6">
        <w:t>o</w:t>
      </w:r>
      <w:r>
        <w:t>ther primary section with the following primary elements.</w:t>
      </w:r>
    </w:p>
    <w:p w:rsidR="00B50C13" w:rsidRDefault="00B50C13" w:rsidP="0033522C">
      <w:pPr>
        <w:pStyle w:val="ListParagraph"/>
        <w:numPr>
          <w:ilvl w:val="2"/>
          <w:numId w:val="45"/>
        </w:numPr>
        <w:spacing w:before="120" w:after="120"/>
        <w:contextualSpacing w:val="0"/>
      </w:pPr>
      <w:r>
        <w:t>Compartment or Aggregate Product Information (Compartment ID or Line Item Number)</w:t>
      </w:r>
    </w:p>
    <w:p w:rsidR="00B50C13" w:rsidRDefault="00B50C13" w:rsidP="0033522C">
      <w:pPr>
        <w:pStyle w:val="ListParagraph"/>
        <w:numPr>
          <w:ilvl w:val="2"/>
          <w:numId w:val="45"/>
        </w:numPr>
        <w:spacing w:before="120" w:after="120"/>
        <w:contextualSpacing w:val="0"/>
      </w:pPr>
      <w:r>
        <w:t>References – Line Item References (Product Level or line item level data for Shipments or Orders)</w:t>
      </w:r>
    </w:p>
    <w:p w:rsidR="00B50C13" w:rsidRDefault="00B50C13" w:rsidP="0033522C">
      <w:pPr>
        <w:pStyle w:val="ListParagraph"/>
        <w:numPr>
          <w:ilvl w:val="2"/>
          <w:numId w:val="45"/>
        </w:numPr>
        <w:spacing w:before="120" w:after="120"/>
        <w:contextualSpacing w:val="0"/>
      </w:pPr>
      <w:proofErr w:type="spellStart"/>
      <w:r>
        <w:t>DetailPartners</w:t>
      </w:r>
      <w:proofErr w:type="spellEnd"/>
      <w:r>
        <w:t xml:space="preserve"> – </w:t>
      </w:r>
      <w:bookmarkStart w:id="8" w:name="_GoBack"/>
      <w:r>
        <w:t>Could be related to delivery of product to a party</w:t>
      </w:r>
      <w:r w:rsidR="00AD7F23">
        <w:t xml:space="preserve">, or </w:t>
      </w:r>
      <w:proofErr w:type="spellStart"/>
      <w:r w:rsidR="00AD7F23">
        <w:t>shipto</w:t>
      </w:r>
      <w:proofErr w:type="spellEnd"/>
      <w:r w:rsidR="00AD7F23">
        <w:t>/</w:t>
      </w:r>
      <w:proofErr w:type="spellStart"/>
      <w:r w:rsidR="00AD7F23">
        <w:t>soldto</w:t>
      </w:r>
      <w:proofErr w:type="spellEnd"/>
      <w:r w:rsidR="00AD7F23">
        <w:t xml:space="preserve"> data for shipments with multiple unrelated drop offs.</w:t>
      </w:r>
    </w:p>
    <w:bookmarkEnd w:id="8"/>
    <w:p w:rsidR="00B50C13" w:rsidRDefault="00B50C13" w:rsidP="0033522C">
      <w:pPr>
        <w:pStyle w:val="ListParagraph"/>
        <w:numPr>
          <w:ilvl w:val="2"/>
          <w:numId w:val="45"/>
        </w:numPr>
        <w:spacing w:before="120" w:after="120"/>
        <w:contextualSpacing w:val="0"/>
      </w:pPr>
      <w:r>
        <w:t>Product – Product Level Data for that Compar</w:t>
      </w:r>
      <w:r w:rsidR="009B67F6">
        <w:t>t</w:t>
      </w:r>
      <w:r>
        <w:t>ment or Line item (mostly product codes and product references)</w:t>
      </w:r>
    </w:p>
    <w:p w:rsidR="00B50C13" w:rsidRDefault="00B50C13" w:rsidP="0033522C">
      <w:pPr>
        <w:pStyle w:val="ListParagraph"/>
        <w:numPr>
          <w:ilvl w:val="2"/>
          <w:numId w:val="45"/>
        </w:numPr>
        <w:spacing w:before="120" w:after="120"/>
        <w:contextualSpacing w:val="0"/>
      </w:pPr>
      <w:r>
        <w:t>Tax Data for the Product</w:t>
      </w:r>
    </w:p>
    <w:p w:rsidR="00B50C13" w:rsidRDefault="00B50C13" w:rsidP="0033522C">
      <w:pPr>
        <w:pStyle w:val="ListParagraph"/>
        <w:numPr>
          <w:ilvl w:val="2"/>
          <w:numId w:val="45"/>
        </w:numPr>
        <w:spacing w:before="120" w:after="120"/>
        <w:contextualSpacing w:val="0"/>
      </w:pPr>
      <w:r>
        <w:t>Measurement Data which includes a Recipe Section for Component level details.</w:t>
      </w:r>
    </w:p>
    <w:p w:rsidR="00B50C13" w:rsidRDefault="00B50C13" w:rsidP="0033522C">
      <w:pPr>
        <w:pStyle w:val="ListParagraph"/>
        <w:numPr>
          <w:ilvl w:val="2"/>
          <w:numId w:val="45"/>
        </w:numPr>
        <w:spacing w:before="120" w:after="120"/>
        <w:contextualSpacing w:val="0"/>
      </w:pPr>
      <w:r>
        <w:t xml:space="preserve">Left on Board Product Data </w:t>
      </w:r>
    </w:p>
    <w:p w:rsidR="00A46F80" w:rsidRPr="00A46F80" w:rsidRDefault="00A46F80" w:rsidP="00B50C13"/>
    <w:p w:rsidR="00833A83" w:rsidRDefault="00833A83">
      <w:pPr>
        <w:spacing w:before="0"/>
        <w:rPr>
          <w:rFonts w:ascii="Arial Bold" w:hAnsi="Arial Bold"/>
          <w:b/>
          <w:bCs/>
          <w:color w:val="404040" w:themeColor="text1" w:themeTint="BF"/>
          <w:szCs w:val="26"/>
        </w:rPr>
      </w:pPr>
      <w:r>
        <w:br w:type="page"/>
      </w:r>
    </w:p>
    <w:p w:rsidR="00882A59" w:rsidRDefault="008D35D0" w:rsidP="008D35D0">
      <w:pPr>
        <w:pStyle w:val="Heading3"/>
      </w:pPr>
      <w:bookmarkStart w:id="9" w:name="_Toc342333888"/>
      <w:proofErr w:type="spellStart"/>
      <w:r>
        <w:t>PIDXBOLResponse</w:t>
      </w:r>
      <w:bookmarkEnd w:id="9"/>
      <w:proofErr w:type="spellEnd"/>
      <w:r w:rsidR="00B80647">
        <w:t xml:space="preserve"> </w:t>
      </w:r>
    </w:p>
    <w:p w:rsidR="00B50C13" w:rsidRDefault="00B50C13" w:rsidP="0033522C">
      <w:pPr>
        <w:ind w:left="720"/>
      </w:pPr>
      <w:r>
        <w:t>The basic structure is shown below.</w:t>
      </w:r>
    </w:p>
    <w:p w:rsidR="00B50C13" w:rsidRDefault="007E66BE" w:rsidP="00B50C13">
      <w:r>
        <w:rPr>
          <w:noProof/>
          <w:sz w:val="24"/>
        </w:rPr>
        <w:pict>
          <v:shape id="_x0000_i1027" type="#_x0000_t75" style="width:444.75pt;height:356.25pt">
            <v:imagedata r:id="rId15" o:title="UsageImage3"/>
          </v:shape>
        </w:pict>
      </w:r>
    </w:p>
    <w:p w:rsidR="000D401C" w:rsidRDefault="000D401C" w:rsidP="0033522C">
      <w:pPr>
        <w:spacing w:before="120" w:after="120"/>
        <w:ind w:left="720"/>
      </w:pPr>
    </w:p>
    <w:p w:rsidR="00B50C13" w:rsidRDefault="00B50C13" w:rsidP="0033522C">
      <w:pPr>
        <w:spacing w:before="120" w:after="120"/>
        <w:ind w:left="720"/>
      </w:pPr>
      <w:r>
        <w:t xml:space="preserve">The </w:t>
      </w:r>
      <w:proofErr w:type="spellStart"/>
      <w:r>
        <w:t>BOLResponse</w:t>
      </w:r>
      <w:proofErr w:type="spellEnd"/>
      <w:r>
        <w:t xml:space="preserve"> simply informs the Terminal if the BOL was accepted </w:t>
      </w:r>
      <w:r w:rsidR="009B67F6">
        <w:t>by the clearing house</w:t>
      </w:r>
      <w:r>
        <w:t xml:space="preserve">.  If it was accepted then the </w:t>
      </w:r>
      <w:proofErr w:type="spellStart"/>
      <w:r>
        <w:t>StoredSucessfully</w:t>
      </w:r>
      <w:proofErr w:type="spellEnd"/>
      <w:r>
        <w:t xml:space="preserve"> Flag will be set to Yes</w:t>
      </w:r>
      <w:r w:rsidR="00AD7F23">
        <w:t>, i</w:t>
      </w:r>
      <w:r>
        <w:t xml:space="preserve">f not </w:t>
      </w:r>
      <w:r w:rsidR="00AD7F23">
        <w:t xml:space="preserve">the flag </w:t>
      </w:r>
      <w:r>
        <w:t>will be set to No and the TAS system should notify an operator of a BOL issue.  The Primary field that will cause a NO response is the Seller Number not being filled in correctly.  The Clearing House should be able to route all other BOL error messages internally</w:t>
      </w:r>
      <w:r w:rsidR="00AD7F23">
        <w:t xml:space="preserve"> to be fixed by the seller, b</w:t>
      </w:r>
      <w:r>
        <w:t>ut if the seller number is not set correctly</w:t>
      </w:r>
      <w:r w:rsidR="009B67F6">
        <w:t>,</w:t>
      </w:r>
      <w:r>
        <w:t xml:space="preserve"> then the BOL cannot be routed to the correct seller to resolve the issue</w:t>
      </w:r>
      <w:r w:rsidR="00AD7F23">
        <w:t xml:space="preserve"> or contact the TAS owner.</w:t>
      </w:r>
    </w:p>
    <w:p w:rsidR="00B50C13" w:rsidRDefault="00B50C13" w:rsidP="00B50C13"/>
    <w:p w:rsidR="00B50C13" w:rsidRPr="00B50C13" w:rsidRDefault="00B50C13" w:rsidP="00B50C13"/>
    <w:p w:rsidR="00C864BB" w:rsidRDefault="00B50C13" w:rsidP="00A35612">
      <w:pPr>
        <w:pStyle w:val="Heading1"/>
        <w:ind w:left="360"/>
        <w:rPr>
          <w:color w:val="404040" w:themeColor="text1" w:themeTint="BF"/>
        </w:rPr>
      </w:pPr>
      <w:bookmarkStart w:id="10" w:name="_Toc342333889"/>
      <w:r>
        <w:rPr>
          <w:color w:val="404040" w:themeColor="text1" w:themeTint="BF"/>
        </w:rPr>
        <w:t>Detailed Element Data Population Recommendations</w:t>
      </w:r>
      <w:bookmarkEnd w:id="10"/>
    </w:p>
    <w:p w:rsidR="00221A88" w:rsidRDefault="00CB142F" w:rsidP="00221A88">
      <w:r>
        <w:t xml:space="preserve">The following sections contain data and scenarios for picking up product based on the various </w:t>
      </w:r>
      <w:proofErr w:type="spellStart"/>
      <w:r>
        <w:t>LoadingTypes</w:t>
      </w:r>
      <w:proofErr w:type="spellEnd"/>
      <w:r>
        <w:t>.  The Party and Order Information contained in this section will be referenced throughout the examples.  Party information contains information related to the purchasing</w:t>
      </w:r>
      <w:r w:rsidR="00AD7F23">
        <w:t>,</w:t>
      </w:r>
      <w:r>
        <w:t xml:space="preserve"> selling parties</w:t>
      </w:r>
      <w:r w:rsidR="00AD7F23">
        <w:t>, terminal, and Carrier specific data</w:t>
      </w:r>
      <w:proofErr w:type="gramStart"/>
      <w:r w:rsidR="00AD7F23">
        <w:t>.</w:t>
      </w:r>
      <w:r>
        <w:t>.</w:t>
      </w:r>
      <w:proofErr w:type="gramEnd"/>
    </w:p>
    <w:p w:rsidR="009B6E9A" w:rsidRDefault="009B6E9A" w:rsidP="00221A88"/>
    <w:p w:rsidR="00AA7D5F" w:rsidRPr="009B6E9A" w:rsidRDefault="009B6E9A" w:rsidP="0033522C">
      <w:pPr>
        <w:spacing w:after="120"/>
        <w:rPr>
          <w:b/>
          <w:sz w:val="28"/>
          <w:szCs w:val="28"/>
        </w:rPr>
      </w:pPr>
      <w:r w:rsidRPr="009B6E9A">
        <w:rPr>
          <w:b/>
          <w:sz w:val="28"/>
          <w:szCs w:val="28"/>
        </w:rPr>
        <w:t>Party Information</w:t>
      </w:r>
    </w:p>
    <w:tbl>
      <w:tblPr>
        <w:tblStyle w:val="TableGrid"/>
        <w:tblW w:w="0" w:type="auto"/>
        <w:tblInd w:w="108" w:type="dxa"/>
        <w:tblLook w:val="04A0" w:firstRow="1" w:lastRow="0" w:firstColumn="1" w:lastColumn="0" w:noHBand="0" w:noVBand="1"/>
      </w:tblPr>
      <w:tblGrid>
        <w:gridCol w:w="2614"/>
        <w:gridCol w:w="2082"/>
        <w:gridCol w:w="1622"/>
        <w:gridCol w:w="2538"/>
      </w:tblGrid>
      <w:tr w:rsidR="00AA7D5F" w:rsidRPr="009B6E9A" w:rsidTr="0033522C">
        <w:tc>
          <w:tcPr>
            <w:tcW w:w="2614" w:type="dxa"/>
            <w:shd w:val="clear" w:color="auto" w:fill="990000"/>
          </w:tcPr>
          <w:p w:rsidR="00AA7D5F" w:rsidRPr="009B6E9A" w:rsidRDefault="00AA7D5F" w:rsidP="00AA7D5F">
            <w:pPr>
              <w:rPr>
                <w:b/>
              </w:rPr>
            </w:pPr>
            <w:r w:rsidRPr="009B6E9A">
              <w:rPr>
                <w:b/>
              </w:rPr>
              <w:t>Party Type</w:t>
            </w:r>
          </w:p>
        </w:tc>
        <w:tc>
          <w:tcPr>
            <w:tcW w:w="2082" w:type="dxa"/>
            <w:shd w:val="clear" w:color="auto" w:fill="990000"/>
          </w:tcPr>
          <w:p w:rsidR="00AA7D5F" w:rsidRPr="009B6E9A" w:rsidRDefault="00AA7D5F" w:rsidP="00AA7D5F">
            <w:pPr>
              <w:rPr>
                <w:b/>
              </w:rPr>
            </w:pPr>
            <w:r w:rsidRPr="009B6E9A">
              <w:rPr>
                <w:b/>
              </w:rPr>
              <w:t>Party Name</w:t>
            </w:r>
          </w:p>
        </w:tc>
        <w:tc>
          <w:tcPr>
            <w:tcW w:w="1622" w:type="dxa"/>
            <w:shd w:val="clear" w:color="auto" w:fill="990000"/>
          </w:tcPr>
          <w:p w:rsidR="00AA7D5F" w:rsidRPr="009B6E9A" w:rsidRDefault="00AA7D5F" w:rsidP="00AA7D5F">
            <w:pPr>
              <w:rPr>
                <w:b/>
              </w:rPr>
            </w:pPr>
            <w:r w:rsidRPr="009B6E9A">
              <w:rPr>
                <w:b/>
              </w:rPr>
              <w:t>PIDX Identifier</w:t>
            </w:r>
          </w:p>
        </w:tc>
        <w:tc>
          <w:tcPr>
            <w:tcW w:w="2538" w:type="dxa"/>
            <w:shd w:val="clear" w:color="auto" w:fill="990000"/>
          </w:tcPr>
          <w:p w:rsidR="00AA7D5F" w:rsidRPr="009B6E9A" w:rsidRDefault="00AA7D5F" w:rsidP="00AA7D5F">
            <w:pPr>
              <w:rPr>
                <w:b/>
              </w:rPr>
            </w:pPr>
            <w:r w:rsidRPr="009B6E9A">
              <w:rPr>
                <w:b/>
              </w:rPr>
              <w:t>Other Identifier</w:t>
            </w:r>
          </w:p>
        </w:tc>
      </w:tr>
      <w:tr w:rsidR="00AA7D5F" w:rsidTr="0033522C">
        <w:tc>
          <w:tcPr>
            <w:tcW w:w="2614" w:type="dxa"/>
          </w:tcPr>
          <w:p w:rsidR="00AA7D5F" w:rsidRPr="00AA7D5F" w:rsidRDefault="00AA7D5F" w:rsidP="00AA7D5F">
            <w:r w:rsidRPr="00AA7D5F">
              <w:t>Seller</w:t>
            </w:r>
          </w:p>
        </w:tc>
        <w:tc>
          <w:tcPr>
            <w:tcW w:w="2082" w:type="dxa"/>
          </w:tcPr>
          <w:p w:rsidR="00AA7D5F" w:rsidRPr="00AA7D5F" w:rsidRDefault="00AA7D5F" w:rsidP="00AA7D5F">
            <w:r>
              <w:t>XYZ Oil Company</w:t>
            </w:r>
          </w:p>
        </w:tc>
        <w:tc>
          <w:tcPr>
            <w:tcW w:w="1622" w:type="dxa"/>
          </w:tcPr>
          <w:p w:rsidR="00AA7D5F" w:rsidRPr="00AA7D5F" w:rsidRDefault="009B6E9A" w:rsidP="00AA7D5F">
            <w:r>
              <w:t>001</w:t>
            </w:r>
          </w:p>
        </w:tc>
        <w:tc>
          <w:tcPr>
            <w:tcW w:w="2538" w:type="dxa"/>
          </w:tcPr>
          <w:p w:rsidR="00AA7D5F" w:rsidRPr="00AA7D5F" w:rsidRDefault="009B6E9A" w:rsidP="00AA7D5F">
            <w:r>
              <w:t>None</w:t>
            </w:r>
          </w:p>
        </w:tc>
      </w:tr>
      <w:tr w:rsidR="00AA7D5F" w:rsidTr="0033522C">
        <w:tc>
          <w:tcPr>
            <w:tcW w:w="2614" w:type="dxa"/>
          </w:tcPr>
          <w:p w:rsidR="00AA7D5F" w:rsidRPr="00AA7D5F" w:rsidRDefault="00AA7D5F" w:rsidP="00AA7D5F">
            <w:r>
              <w:t>Customer</w:t>
            </w:r>
          </w:p>
        </w:tc>
        <w:tc>
          <w:tcPr>
            <w:tcW w:w="2082" w:type="dxa"/>
          </w:tcPr>
          <w:p w:rsidR="00AA7D5F" w:rsidRPr="00AA7D5F" w:rsidRDefault="009B6E9A" w:rsidP="00AA7D5F">
            <w:r>
              <w:t>ABC Fuels Distribution</w:t>
            </w:r>
          </w:p>
        </w:tc>
        <w:tc>
          <w:tcPr>
            <w:tcW w:w="1622" w:type="dxa"/>
          </w:tcPr>
          <w:p w:rsidR="00AA7D5F" w:rsidRPr="00AA7D5F" w:rsidRDefault="009B6E9A" w:rsidP="00AA7D5F">
            <w:r>
              <w:t>12345678</w:t>
            </w:r>
          </w:p>
        </w:tc>
        <w:tc>
          <w:tcPr>
            <w:tcW w:w="2538" w:type="dxa"/>
          </w:tcPr>
          <w:p w:rsidR="00AA7D5F" w:rsidRPr="00AA7D5F" w:rsidRDefault="00AA7D5F" w:rsidP="00AA7D5F"/>
        </w:tc>
      </w:tr>
      <w:tr w:rsidR="00AA7D5F" w:rsidTr="0033522C">
        <w:tc>
          <w:tcPr>
            <w:tcW w:w="2614" w:type="dxa"/>
          </w:tcPr>
          <w:p w:rsidR="00AA7D5F" w:rsidRDefault="00AA7D5F" w:rsidP="00AA7D5F">
            <w:r>
              <w:t>Location/Terminal/Depot</w:t>
            </w:r>
          </w:p>
        </w:tc>
        <w:tc>
          <w:tcPr>
            <w:tcW w:w="2082" w:type="dxa"/>
          </w:tcPr>
          <w:p w:rsidR="00AA7D5F" w:rsidRPr="00AA7D5F" w:rsidRDefault="009B6E9A" w:rsidP="00AA7D5F">
            <w:r>
              <w:t>Tanks RUS</w:t>
            </w:r>
          </w:p>
        </w:tc>
        <w:tc>
          <w:tcPr>
            <w:tcW w:w="1622" w:type="dxa"/>
          </w:tcPr>
          <w:p w:rsidR="00AA7D5F" w:rsidRPr="00AA7D5F" w:rsidRDefault="009B6E9A" w:rsidP="00AA7D5F">
            <w:r>
              <w:t>TGB001234</w:t>
            </w:r>
          </w:p>
        </w:tc>
        <w:tc>
          <w:tcPr>
            <w:tcW w:w="2538" w:type="dxa"/>
          </w:tcPr>
          <w:p w:rsidR="00F146CB" w:rsidRPr="00AA7D5F" w:rsidRDefault="00F146CB" w:rsidP="00AA7D5F">
            <w:r>
              <w:t>Terminal Owner = 002 (Tanks RUS)</w:t>
            </w:r>
          </w:p>
        </w:tc>
      </w:tr>
      <w:tr w:rsidR="00AA7D5F" w:rsidTr="0033522C">
        <w:trPr>
          <w:trHeight w:val="503"/>
        </w:trPr>
        <w:tc>
          <w:tcPr>
            <w:tcW w:w="2614" w:type="dxa"/>
          </w:tcPr>
          <w:p w:rsidR="00AA7D5F" w:rsidRDefault="009B6E9A" w:rsidP="00AA7D5F">
            <w:r>
              <w:t>Carrier/Haulier</w:t>
            </w:r>
          </w:p>
        </w:tc>
        <w:tc>
          <w:tcPr>
            <w:tcW w:w="2082" w:type="dxa"/>
          </w:tcPr>
          <w:p w:rsidR="00AA7D5F" w:rsidRPr="00AA7D5F" w:rsidRDefault="009B6E9A" w:rsidP="00AA7D5F">
            <w:r>
              <w:t>CYW Trucking</w:t>
            </w:r>
          </w:p>
        </w:tc>
        <w:tc>
          <w:tcPr>
            <w:tcW w:w="1622" w:type="dxa"/>
          </w:tcPr>
          <w:p w:rsidR="00AA7D5F" w:rsidRPr="00AA7D5F" w:rsidRDefault="00AA7D5F" w:rsidP="00AA7D5F"/>
        </w:tc>
        <w:tc>
          <w:tcPr>
            <w:tcW w:w="2538" w:type="dxa"/>
          </w:tcPr>
          <w:p w:rsidR="00CC2A27" w:rsidRPr="00AA7D5F" w:rsidRDefault="009B6E9A" w:rsidP="00AA7D5F">
            <w:r>
              <w:t xml:space="preserve">Terminal </w:t>
            </w:r>
            <w:r w:rsidR="00A34F6E">
              <w:t xml:space="preserve">Haulier </w:t>
            </w:r>
            <w:r>
              <w:t>ID</w:t>
            </w:r>
            <w:r w:rsidR="00CC2A27">
              <w:t xml:space="preserve"> = 000001</w:t>
            </w:r>
          </w:p>
        </w:tc>
      </w:tr>
      <w:tr w:rsidR="00F146CB" w:rsidTr="0033522C">
        <w:tc>
          <w:tcPr>
            <w:tcW w:w="2614" w:type="dxa"/>
          </w:tcPr>
          <w:p w:rsidR="00F146CB" w:rsidRDefault="00F146CB" w:rsidP="00AA7D5F">
            <w:r>
              <w:t>Engine Data</w:t>
            </w:r>
          </w:p>
        </w:tc>
        <w:tc>
          <w:tcPr>
            <w:tcW w:w="2082" w:type="dxa"/>
          </w:tcPr>
          <w:p w:rsidR="00F146CB" w:rsidRDefault="00F146CB" w:rsidP="00AA7D5F"/>
        </w:tc>
        <w:tc>
          <w:tcPr>
            <w:tcW w:w="1622" w:type="dxa"/>
          </w:tcPr>
          <w:p w:rsidR="00F146CB" w:rsidRPr="00AA7D5F" w:rsidRDefault="00F146CB" w:rsidP="00AA7D5F"/>
        </w:tc>
        <w:tc>
          <w:tcPr>
            <w:tcW w:w="2538" w:type="dxa"/>
          </w:tcPr>
          <w:p w:rsidR="00F146CB" w:rsidRDefault="00F146CB" w:rsidP="00CC2A27">
            <w:r>
              <w:t>License# = ABCDEF</w:t>
            </w:r>
          </w:p>
        </w:tc>
      </w:tr>
      <w:tr w:rsidR="00F146CB" w:rsidTr="0033522C">
        <w:tc>
          <w:tcPr>
            <w:tcW w:w="2614" w:type="dxa"/>
          </w:tcPr>
          <w:p w:rsidR="00F146CB" w:rsidRDefault="00F146CB" w:rsidP="00AA7D5F">
            <w:r>
              <w:t>Trailer Data</w:t>
            </w:r>
          </w:p>
        </w:tc>
        <w:tc>
          <w:tcPr>
            <w:tcW w:w="2082" w:type="dxa"/>
          </w:tcPr>
          <w:p w:rsidR="00F146CB" w:rsidRDefault="00F146CB" w:rsidP="00AA7D5F"/>
        </w:tc>
        <w:tc>
          <w:tcPr>
            <w:tcW w:w="1622" w:type="dxa"/>
          </w:tcPr>
          <w:p w:rsidR="00F146CB" w:rsidRPr="00AA7D5F" w:rsidRDefault="00F146CB" w:rsidP="00AA7D5F"/>
        </w:tc>
        <w:tc>
          <w:tcPr>
            <w:tcW w:w="2538" w:type="dxa"/>
          </w:tcPr>
          <w:p w:rsidR="00F146CB" w:rsidRDefault="00F146CB" w:rsidP="00CC2A27">
            <w:r>
              <w:t>License#=TRLABC</w:t>
            </w:r>
          </w:p>
          <w:p w:rsidR="00F146CB" w:rsidRDefault="00F146CB" w:rsidP="00F146CB">
            <w:r>
              <w:t xml:space="preserve">Size = </w:t>
            </w:r>
            <w:r>
              <w:rPr>
                <w:lang w:val="en"/>
              </w:rPr>
              <w:t>34,000</w:t>
            </w:r>
            <w:r>
              <w:t xml:space="preserve"> </w:t>
            </w:r>
            <w:proofErr w:type="spellStart"/>
            <w:r>
              <w:t>Liters</w:t>
            </w:r>
            <w:proofErr w:type="spellEnd"/>
          </w:p>
        </w:tc>
      </w:tr>
    </w:tbl>
    <w:p w:rsidR="001C4700" w:rsidRDefault="001C4700" w:rsidP="00221A88">
      <w:pPr>
        <w:rPr>
          <w:b/>
          <w:sz w:val="28"/>
          <w:szCs w:val="28"/>
        </w:rPr>
      </w:pPr>
    </w:p>
    <w:p w:rsidR="00221A88" w:rsidRDefault="00CC2A27" w:rsidP="00221A88">
      <w:pPr>
        <w:rPr>
          <w:b/>
          <w:sz w:val="28"/>
          <w:szCs w:val="28"/>
        </w:rPr>
      </w:pPr>
      <w:r w:rsidRPr="00CC2A27">
        <w:rPr>
          <w:b/>
          <w:sz w:val="28"/>
          <w:szCs w:val="28"/>
        </w:rPr>
        <w:t>Order Information</w:t>
      </w:r>
    </w:p>
    <w:p w:rsidR="00CC2A27" w:rsidRPr="00A34F6E" w:rsidRDefault="00CC2A27" w:rsidP="00221A88">
      <w:pPr>
        <w:rPr>
          <w:szCs w:val="22"/>
        </w:rPr>
      </w:pPr>
      <w:r w:rsidRPr="00A34F6E">
        <w:rPr>
          <w:szCs w:val="22"/>
        </w:rPr>
        <w:t xml:space="preserve">Note the </w:t>
      </w:r>
      <w:r w:rsidR="0092433C">
        <w:rPr>
          <w:szCs w:val="22"/>
        </w:rPr>
        <w:t>o</w:t>
      </w:r>
      <w:r w:rsidRPr="00A34F6E">
        <w:rPr>
          <w:szCs w:val="22"/>
        </w:rPr>
        <w:t xml:space="preserve">rder information can be for a </w:t>
      </w:r>
      <w:r w:rsidR="0092433C">
        <w:rPr>
          <w:szCs w:val="22"/>
        </w:rPr>
        <w:t>s</w:t>
      </w:r>
      <w:r w:rsidRPr="00A34F6E">
        <w:rPr>
          <w:szCs w:val="22"/>
        </w:rPr>
        <w:t xml:space="preserve">hipment or for a </w:t>
      </w:r>
      <w:r w:rsidR="0092433C">
        <w:rPr>
          <w:szCs w:val="22"/>
        </w:rPr>
        <w:t>p</w:t>
      </w:r>
      <w:r w:rsidRPr="00A34F6E">
        <w:rPr>
          <w:szCs w:val="22"/>
        </w:rPr>
        <w:t>re-</w:t>
      </w:r>
      <w:r w:rsidR="0092433C">
        <w:rPr>
          <w:szCs w:val="22"/>
        </w:rPr>
        <w:t>o</w:t>
      </w:r>
      <w:r w:rsidRPr="00A34F6E">
        <w:rPr>
          <w:szCs w:val="22"/>
        </w:rPr>
        <w:t>rder where the pre-order may</w:t>
      </w:r>
      <w:r w:rsidR="0092433C">
        <w:rPr>
          <w:szCs w:val="22"/>
        </w:rPr>
        <w:t xml:space="preserve"> </w:t>
      </w:r>
      <w:r w:rsidRPr="00A34F6E">
        <w:rPr>
          <w:szCs w:val="22"/>
        </w:rPr>
        <w:t xml:space="preserve">be a wholesaler delivering to multiple </w:t>
      </w:r>
      <w:r w:rsidR="0092433C">
        <w:rPr>
          <w:szCs w:val="22"/>
        </w:rPr>
        <w:t>site</w:t>
      </w:r>
      <w:r w:rsidRPr="00A34F6E">
        <w:rPr>
          <w:szCs w:val="22"/>
        </w:rPr>
        <w:t xml:space="preserve">s.  For </w:t>
      </w:r>
      <w:r w:rsidR="0092433C">
        <w:rPr>
          <w:szCs w:val="22"/>
        </w:rPr>
        <w:t>o</w:t>
      </w:r>
      <w:r w:rsidRPr="00A34F6E">
        <w:rPr>
          <w:szCs w:val="22"/>
        </w:rPr>
        <w:t>rders</w:t>
      </w:r>
      <w:r w:rsidR="0092433C">
        <w:rPr>
          <w:szCs w:val="22"/>
        </w:rPr>
        <w:t>,</w:t>
      </w:r>
      <w:r w:rsidRPr="00A34F6E">
        <w:rPr>
          <w:szCs w:val="22"/>
        </w:rPr>
        <w:t xml:space="preserve"> the Party information for Seller, Customer and Location is implied.  The Carrier/Driver </w:t>
      </w:r>
      <w:r w:rsidR="0092433C">
        <w:rPr>
          <w:szCs w:val="22"/>
        </w:rPr>
        <w:t xml:space="preserve">fields </w:t>
      </w:r>
      <w:r w:rsidRPr="00A34F6E">
        <w:rPr>
          <w:szCs w:val="22"/>
        </w:rPr>
        <w:t>are specified in the order to show how the various scenarios could work.</w:t>
      </w:r>
    </w:p>
    <w:p w:rsidR="00CC2A27" w:rsidRPr="00CC2A27" w:rsidRDefault="00CC2A27" w:rsidP="00221A88">
      <w:pPr>
        <w:rPr>
          <w:b/>
          <w:szCs w:val="22"/>
        </w:rPr>
      </w:pPr>
    </w:p>
    <w:p w:rsidR="00032D5E" w:rsidRDefault="00CC2A27" w:rsidP="0033522C">
      <w:pPr>
        <w:spacing w:after="120"/>
        <w:rPr>
          <w:b/>
        </w:rPr>
      </w:pPr>
      <w:r w:rsidRPr="00F15949">
        <w:rPr>
          <w:b/>
        </w:rPr>
        <w:t>Order#</w:t>
      </w:r>
      <w:r w:rsidR="00032D5E" w:rsidRPr="00F15949">
        <w:rPr>
          <w:b/>
        </w:rPr>
        <w:t xml:space="preserve"> 1</w:t>
      </w:r>
      <w:r w:rsidRPr="00F15949">
        <w:rPr>
          <w:b/>
        </w:rPr>
        <w:t>0001</w:t>
      </w:r>
      <w:r w:rsidR="00D9415B">
        <w:rPr>
          <w:b/>
        </w:rPr>
        <w:t xml:space="preserve"> – Priority 10</w:t>
      </w:r>
    </w:p>
    <w:tbl>
      <w:tblPr>
        <w:tblStyle w:val="TableGrid"/>
        <w:tblW w:w="0" w:type="auto"/>
        <w:tblInd w:w="108" w:type="dxa"/>
        <w:tblLook w:val="04A0" w:firstRow="1" w:lastRow="0" w:firstColumn="1" w:lastColumn="0" w:noHBand="0" w:noVBand="1"/>
      </w:tblPr>
      <w:tblGrid>
        <w:gridCol w:w="2214"/>
        <w:gridCol w:w="2214"/>
        <w:gridCol w:w="2214"/>
        <w:gridCol w:w="2214"/>
      </w:tblGrid>
      <w:tr w:rsidR="00F15949" w:rsidTr="0033522C">
        <w:tc>
          <w:tcPr>
            <w:tcW w:w="2214" w:type="dxa"/>
            <w:shd w:val="clear" w:color="auto" w:fill="990000"/>
          </w:tcPr>
          <w:p w:rsidR="00F15949" w:rsidRDefault="00AD0622" w:rsidP="00221A88">
            <w:pPr>
              <w:rPr>
                <w:b/>
              </w:rPr>
            </w:pPr>
            <w:r>
              <w:rPr>
                <w:b/>
              </w:rPr>
              <w:t>Party</w:t>
            </w:r>
          </w:p>
        </w:tc>
        <w:tc>
          <w:tcPr>
            <w:tcW w:w="2214" w:type="dxa"/>
            <w:shd w:val="clear" w:color="auto" w:fill="990000"/>
          </w:tcPr>
          <w:p w:rsidR="00F15949" w:rsidRDefault="00AD0622" w:rsidP="00221A88">
            <w:pPr>
              <w:rPr>
                <w:b/>
              </w:rPr>
            </w:pPr>
            <w:r>
              <w:rPr>
                <w:b/>
              </w:rPr>
              <w:t>Party Name</w:t>
            </w:r>
          </w:p>
        </w:tc>
        <w:tc>
          <w:tcPr>
            <w:tcW w:w="2214" w:type="dxa"/>
            <w:shd w:val="clear" w:color="auto" w:fill="990000"/>
          </w:tcPr>
          <w:p w:rsidR="00F15949" w:rsidRDefault="00D9415B" w:rsidP="00221A88">
            <w:pPr>
              <w:rPr>
                <w:b/>
              </w:rPr>
            </w:pPr>
            <w:r>
              <w:rPr>
                <w:b/>
              </w:rPr>
              <w:t>License#</w:t>
            </w:r>
          </w:p>
        </w:tc>
        <w:tc>
          <w:tcPr>
            <w:tcW w:w="2214" w:type="dxa"/>
            <w:shd w:val="clear" w:color="auto" w:fill="990000"/>
          </w:tcPr>
          <w:p w:rsidR="00F15949" w:rsidRDefault="00F15949" w:rsidP="00221A88">
            <w:pPr>
              <w:rPr>
                <w:b/>
              </w:rPr>
            </w:pPr>
          </w:p>
        </w:tc>
      </w:tr>
      <w:tr w:rsidR="00F15949" w:rsidTr="0033522C">
        <w:tc>
          <w:tcPr>
            <w:tcW w:w="2214" w:type="dxa"/>
          </w:tcPr>
          <w:p w:rsidR="00F15949" w:rsidRDefault="00AD0622" w:rsidP="00221A88">
            <w:pPr>
              <w:rPr>
                <w:b/>
              </w:rPr>
            </w:pPr>
            <w:r>
              <w:rPr>
                <w:b/>
              </w:rPr>
              <w:t>Carrier</w:t>
            </w:r>
          </w:p>
        </w:tc>
        <w:tc>
          <w:tcPr>
            <w:tcW w:w="2214" w:type="dxa"/>
          </w:tcPr>
          <w:p w:rsidR="00F15949" w:rsidRDefault="00AD0622" w:rsidP="00221A88">
            <w:pPr>
              <w:rPr>
                <w:b/>
              </w:rPr>
            </w:pPr>
            <w:r>
              <w:rPr>
                <w:b/>
              </w:rPr>
              <w:t>CYW Trucking</w:t>
            </w:r>
          </w:p>
        </w:tc>
        <w:tc>
          <w:tcPr>
            <w:tcW w:w="2214" w:type="dxa"/>
          </w:tcPr>
          <w:p w:rsidR="00F15949" w:rsidRDefault="00D9415B" w:rsidP="00221A88">
            <w:pPr>
              <w:rPr>
                <w:b/>
              </w:rPr>
            </w:pPr>
            <w:r>
              <w:rPr>
                <w:b/>
              </w:rPr>
              <w:t>ABCDEF</w:t>
            </w:r>
          </w:p>
        </w:tc>
        <w:tc>
          <w:tcPr>
            <w:tcW w:w="2214" w:type="dxa"/>
          </w:tcPr>
          <w:p w:rsidR="00F15949" w:rsidRDefault="00F15949" w:rsidP="00221A88">
            <w:pPr>
              <w:rPr>
                <w:b/>
              </w:rPr>
            </w:pPr>
          </w:p>
        </w:tc>
      </w:tr>
      <w:tr w:rsidR="00AD0622" w:rsidTr="0033522C">
        <w:tc>
          <w:tcPr>
            <w:tcW w:w="2214" w:type="dxa"/>
          </w:tcPr>
          <w:p w:rsidR="00AD0622" w:rsidRDefault="00AD0622" w:rsidP="00221A88">
            <w:pPr>
              <w:rPr>
                <w:b/>
              </w:rPr>
            </w:pPr>
            <w:r>
              <w:rPr>
                <w:b/>
              </w:rPr>
              <w:t xml:space="preserve">Driver </w:t>
            </w:r>
          </w:p>
        </w:tc>
        <w:tc>
          <w:tcPr>
            <w:tcW w:w="2214" w:type="dxa"/>
          </w:tcPr>
          <w:p w:rsidR="00AD0622" w:rsidRDefault="00AD0622" w:rsidP="00221A88">
            <w:pPr>
              <w:rPr>
                <w:b/>
              </w:rPr>
            </w:pPr>
            <w:r>
              <w:rPr>
                <w:b/>
              </w:rPr>
              <w:t>SMITH</w:t>
            </w:r>
          </w:p>
        </w:tc>
        <w:tc>
          <w:tcPr>
            <w:tcW w:w="2214" w:type="dxa"/>
          </w:tcPr>
          <w:p w:rsidR="001C4700" w:rsidRDefault="001C4700" w:rsidP="00221A88">
            <w:pPr>
              <w:rPr>
                <w:b/>
              </w:rPr>
            </w:pPr>
            <w:proofErr w:type="spellStart"/>
            <w:r>
              <w:rPr>
                <w:b/>
              </w:rPr>
              <w:t>DriverLic</w:t>
            </w:r>
            <w:proofErr w:type="spellEnd"/>
            <w:r>
              <w:rPr>
                <w:b/>
              </w:rPr>
              <w:t xml:space="preserve">: </w:t>
            </w:r>
            <w:r w:rsidR="00D9415B">
              <w:rPr>
                <w:b/>
              </w:rPr>
              <w:t>ABC123</w:t>
            </w:r>
          </w:p>
          <w:p w:rsidR="001C4700" w:rsidRDefault="001C4700">
            <w:pPr>
              <w:rPr>
                <w:rFonts w:eastAsia="Times New Roman"/>
                <w:b/>
                <w:lang w:val="en-US"/>
              </w:rPr>
            </w:pPr>
            <w:r>
              <w:rPr>
                <w:b/>
              </w:rPr>
              <w:t>DriverCardNo:1003</w:t>
            </w:r>
          </w:p>
        </w:tc>
        <w:tc>
          <w:tcPr>
            <w:tcW w:w="2214" w:type="dxa"/>
          </w:tcPr>
          <w:p w:rsidR="00AD0622" w:rsidRDefault="00AD0622" w:rsidP="00221A88">
            <w:pPr>
              <w:rPr>
                <w:b/>
              </w:rPr>
            </w:pPr>
          </w:p>
        </w:tc>
      </w:tr>
      <w:tr w:rsidR="00AD0622" w:rsidTr="0033522C">
        <w:tc>
          <w:tcPr>
            <w:tcW w:w="2214" w:type="dxa"/>
            <w:shd w:val="clear" w:color="auto" w:fill="990000"/>
          </w:tcPr>
          <w:p w:rsidR="00AD0622" w:rsidRDefault="00AD0622" w:rsidP="00221A88">
            <w:pPr>
              <w:rPr>
                <w:b/>
              </w:rPr>
            </w:pPr>
            <w:proofErr w:type="spellStart"/>
            <w:r>
              <w:rPr>
                <w:b/>
              </w:rPr>
              <w:t>O</w:t>
            </w:r>
            <w:r w:rsidR="0092433C">
              <w:rPr>
                <w:b/>
              </w:rPr>
              <w:t>r</w:t>
            </w:r>
            <w:r>
              <w:rPr>
                <w:b/>
              </w:rPr>
              <w:t>derLine</w:t>
            </w:r>
            <w:proofErr w:type="spellEnd"/>
            <w:r>
              <w:rPr>
                <w:b/>
              </w:rPr>
              <w:t>#</w:t>
            </w:r>
          </w:p>
        </w:tc>
        <w:tc>
          <w:tcPr>
            <w:tcW w:w="2214" w:type="dxa"/>
            <w:shd w:val="clear" w:color="auto" w:fill="990000"/>
          </w:tcPr>
          <w:p w:rsidR="00AD0622" w:rsidRDefault="00AD0622" w:rsidP="00221A88">
            <w:pPr>
              <w:rPr>
                <w:b/>
              </w:rPr>
            </w:pPr>
            <w:r>
              <w:rPr>
                <w:b/>
              </w:rPr>
              <w:t>Location</w:t>
            </w:r>
          </w:p>
        </w:tc>
        <w:tc>
          <w:tcPr>
            <w:tcW w:w="2214" w:type="dxa"/>
            <w:shd w:val="clear" w:color="auto" w:fill="990000"/>
          </w:tcPr>
          <w:p w:rsidR="00AD0622" w:rsidRDefault="00AD0622" w:rsidP="00221A88">
            <w:pPr>
              <w:rPr>
                <w:b/>
              </w:rPr>
            </w:pPr>
            <w:r>
              <w:rPr>
                <w:b/>
              </w:rPr>
              <w:t>Product</w:t>
            </w:r>
          </w:p>
        </w:tc>
        <w:tc>
          <w:tcPr>
            <w:tcW w:w="2214" w:type="dxa"/>
            <w:shd w:val="clear" w:color="auto" w:fill="990000"/>
          </w:tcPr>
          <w:p w:rsidR="00AD0622" w:rsidRDefault="00AD0622" w:rsidP="00221A88">
            <w:pPr>
              <w:rPr>
                <w:b/>
              </w:rPr>
            </w:pPr>
            <w:r>
              <w:rPr>
                <w:b/>
              </w:rPr>
              <w:t>Quantity</w:t>
            </w:r>
          </w:p>
        </w:tc>
      </w:tr>
      <w:tr w:rsidR="00AD0622" w:rsidTr="0033522C">
        <w:tc>
          <w:tcPr>
            <w:tcW w:w="2214" w:type="dxa"/>
          </w:tcPr>
          <w:p w:rsidR="00AD0622" w:rsidRDefault="00AD0622" w:rsidP="00221A88">
            <w:pPr>
              <w:rPr>
                <w:b/>
              </w:rPr>
            </w:pPr>
            <w:r>
              <w:rPr>
                <w:b/>
              </w:rPr>
              <w:t>1</w:t>
            </w:r>
          </w:p>
        </w:tc>
        <w:tc>
          <w:tcPr>
            <w:tcW w:w="2214" w:type="dxa"/>
          </w:tcPr>
          <w:p w:rsidR="00AD0622" w:rsidRDefault="0092433C" w:rsidP="00515414">
            <w:pPr>
              <w:rPr>
                <w:b/>
              </w:rPr>
            </w:pPr>
            <w:r>
              <w:rPr>
                <w:b/>
              </w:rPr>
              <w:t xml:space="preserve">Site </w:t>
            </w:r>
            <w:r w:rsidR="00D9415B">
              <w:rPr>
                <w:b/>
              </w:rPr>
              <w:t>Loc#1</w:t>
            </w:r>
          </w:p>
        </w:tc>
        <w:tc>
          <w:tcPr>
            <w:tcW w:w="2214" w:type="dxa"/>
          </w:tcPr>
          <w:p w:rsidR="00AD0622" w:rsidRDefault="00D9415B" w:rsidP="00221A88">
            <w:pPr>
              <w:rPr>
                <w:b/>
              </w:rPr>
            </w:pPr>
            <w:r>
              <w:rPr>
                <w:b/>
              </w:rPr>
              <w:t>UL95</w:t>
            </w:r>
            <w:r w:rsidR="001A2C01">
              <w:rPr>
                <w:b/>
              </w:rPr>
              <w:t>/P23</w:t>
            </w:r>
          </w:p>
        </w:tc>
        <w:tc>
          <w:tcPr>
            <w:tcW w:w="2214" w:type="dxa"/>
          </w:tcPr>
          <w:p w:rsidR="005048A7" w:rsidRDefault="005048A7" w:rsidP="005048A7">
            <w:pPr>
              <w:rPr>
                <w:b/>
              </w:rPr>
            </w:pPr>
            <w:r>
              <w:rPr>
                <w:b/>
              </w:rPr>
              <w:t>11000 litres</w:t>
            </w:r>
          </w:p>
        </w:tc>
      </w:tr>
      <w:tr w:rsidR="00D9415B" w:rsidTr="0033522C">
        <w:tc>
          <w:tcPr>
            <w:tcW w:w="2214" w:type="dxa"/>
          </w:tcPr>
          <w:p w:rsidR="00D9415B" w:rsidRDefault="00D9415B" w:rsidP="00221A88">
            <w:pPr>
              <w:rPr>
                <w:b/>
              </w:rPr>
            </w:pPr>
            <w:r>
              <w:rPr>
                <w:b/>
              </w:rPr>
              <w:t>2</w:t>
            </w:r>
          </w:p>
        </w:tc>
        <w:tc>
          <w:tcPr>
            <w:tcW w:w="2214" w:type="dxa"/>
          </w:tcPr>
          <w:p w:rsidR="00D9415B" w:rsidRDefault="00D9415B">
            <w:pPr>
              <w:rPr>
                <w:rFonts w:eastAsia="Times New Roman"/>
                <w:b/>
                <w:lang w:val="en-US"/>
              </w:rPr>
            </w:pPr>
            <w:r>
              <w:rPr>
                <w:b/>
              </w:rPr>
              <w:t>S</w:t>
            </w:r>
            <w:r w:rsidR="0092433C">
              <w:rPr>
                <w:b/>
              </w:rPr>
              <w:t>ite</w:t>
            </w:r>
            <w:r>
              <w:rPr>
                <w:b/>
              </w:rPr>
              <w:t xml:space="preserve"> Loc#2</w:t>
            </w:r>
          </w:p>
        </w:tc>
        <w:tc>
          <w:tcPr>
            <w:tcW w:w="2214" w:type="dxa"/>
          </w:tcPr>
          <w:p w:rsidR="00D9415B" w:rsidRDefault="00D9415B" w:rsidP="001A2C01">
            <w:pPr>
              <w:rPr>
                <w:b/>
              </w:rPr>
            </w:pPr>
            <w:r>
              <w:rPr>
                <w:b/>
              </w:rPr>
              <w:t>UL87</w:t>
            </w:r>
            <w:r w:rsidR="001A2C01">
              <w:rPr>
                <w:b/>
              </w:rPr>
              <w:t>/D5E</w:t>
            </w:r>
          </w:p>
        </w:tc>
        <w:tc>
          <w:tcPr>
            <w:tcW w:w="2214" w:type="dxa"/>
          </w:tcPr>
          <w:p w:rsidR="00D9415B" w:rsidRDefault="005048A7" w:rsidP="00221A88">
            <w:pPr>
              <w:rPr>
                <w:b/>
              </w:rPr>
            </w:pPr>
            <w:r>
              <w:rPr>
                <w:b/>
              </w:rPr>
              <w:t>23000 litres</w:t>
            </w:r>
          </w:p>
        </w:tc>
      </w:tr>
    </w:tbl>
    <w:p w:rsidR="00F15949" w:rsidRDefault="00F15949" w:rsidP="00221A88">
      <w:pPr>
        <w:rPr>
          <w:b/>
        </w:rPr>
      </w:pPr>
    </w:p>
    <w:p w:rsidR="00333A2D" w:rsidRDefault="00333A2D">
      <w:pPr>
        <w:spacing w:before="0"/>
        <w:rPr>
          <w:b/>
        </w:rPr>
      </w:pPr>
      <w:r>
        <w:rPr>
          <w:b/>
        </w:rPr>
        <w:br w:type="page"/>
      </w:r>
    </w:p>
    <w:p w:rsidR="00D9415B" w:rsidRPr="00F15949" w:rsidRDefault="00D9415B" w:rsidP="0033522C">
      <w:pPr>
        <w:spacing w:after="120"/>
        <w:rPr>
          <w:b/>
        </w:rPr>
      </w:pPr>
      <w:r>
        <w:rPr>
          <w:b/>
        </w:rPr>
        <w:t>Order #10010 – Priority 1</w:t>
      </w:r>
    </w:p>
    <w:tbl>
      <w:tblPr>
        <w:tblStyle w:val="TableGrid"/>
        <w:tblW w:w="0" w:type="auto"/>
        <w:tblInd w:w="108" w:type="dxa"/>
        <w:tblLook w:val="04A0" w:firstRow="1" w:lastRow="0" w:firstColumn="1" w:lastColumn="0" w:noHBand="0" w:noVBand="1"/>
      </w:tblPr>
      <w:tblGrid>
        <w:gridCol w:w="2214"/>
        <w:gridCol w:w="2214"/>
        <w:gridCol w:w="2214"/>
        <w:gridCol w:w="2214"/>
      </w:tblGrid>
      <w:tr w:rsidR="00D9415B" w:rsidTr="0033522C">
        <w:tc>
          <w:tcPr>
            <w:tcW w:w="2214" w:type="dxa"/>
            <w:shd w:val="clear" w:color="auto" w:fill="990000"/>
          </w:tcPr>
          <w:p w:rsidR="00D9415B" w:rsidRDefault="00D9415B" w:rsidP="00F146CB">
            <w:pPr>
              <w:rPr>
                <w:b/>
              </w:rPr>
            </w:pPr>
            <w:r>
              <w:rPr>
                <w:b/>
              </w:rPr>
              <w:t>Party</w:t>
            </w:r>
          </w:p>
        </w:tc>
        <w:tc>
          <w:tcPr>
            <w:tcW w:w="2214" w:type="dxa"/>
            <w:shd w:val="clear" w:color="auto" w:fill="990000"/>
          </w:tcPr>
          <w:p w:rsidR="00D9415B" w:rsidRDefault="00D9415B" w:rsidP="00F146CB">
            <w:pPr>
              <w:rPr>
                <w:b/>
              </w:rPr>
            </w:pPr>
            <w:r>
              <w:rPr>
                <w:b/>
              </w:rPr>
              <w:t>Party Name</w:t>
            </w:r>
          </w:p>
        </w:tc>
        <w:tc>
          <w:tcPr>
            <w:tcW w:w="2214" w:type="dxa"/>
            <w:shd w:val="clear" w:color="auto" w:fill="990000"/>
          </w:tcPr>
          <w:p w:rsidR="00D9415B" w:rsidRDefault="00D9415B" w:rsidP="00F146CB">
            <w:pPr>
              <w:rPr>
                <w:b/>
              </w:rPr>
            </w:pPr>
            <w:r>
              <w:rPr>
                <w:b/>
              </w:rPr>
              <w:t>License#</w:t>
            </w:r>
          </w:p>
        </w:tc>
        <w:tc>
          <w:tcPr>
            <w:tcW w:w="2214" w:type="dxa"/>
            <w:shd w:val="clear" w:color="auto" w:fill="990000"/>
          </w:tcPr>
          <w:p w:rsidR="00D9415B" w:rsidRDefault="00D9415B" w:rsidP="00F146CB">
            <w:pPr>
              <w:rPr>
                <w:b/>
              </w:rPr>
            </w:pPr>
          </w:p>
        </w:tc>
      </w:tr>
      <w:tr w:rsidR="00D9415B" w:rsidTr="0033522C">
        <w:tc>
          <w:tcPr>
            <w:tcW w:w="2214" w:type="dxa"/>
          </w:tcPr>
          <w:p w:rsidR="00D9415B" w:rsidRDefault="00D9415B" w:rsidP="00F146CB">
            <w:pPr>
              <w:rPr>
                <w:b/>
              </w:rPr>
            </w:pPr>
            <w:r>
              <w:rPr>
                <w:b/>
              </w:rPr>
              <w:t>Carrier</w:t>
            </w:r>
          </w:p>
        </w:tc>
        <w:tc>
          <w:tcPr>
            <w:tcW w:w="2214" w:type="dxa"/>
          </w:tcPr>
          <w:p w:rsidR="00D9415B" w:rsidRDefault="00D9415B" w:rsidP="00F146CB">
            <w:pPr>
              <w:rPr>
                <w:b/>
              </w:rPr>
            </w:pPr>
            <w:r>
              <w:rPr>
                <w:b/>
              </w:rPr>
              <w:t>CYW Trucking</w:t>
            </w:r>
          </w:p>
        </w:tc>
        <w:tc>
          <w:tcPr>
            <w:tcW w:w="2214" w:type="dxa"/>
          </w:tcPr>
          <w:p w:rsidR="00D9415B" w:rsidRDefault="00D9415B" w:rsidP="00F146CB">
            <w:pPr>
              <w:rPr>
                <w:b/>
              </w:rPr>
            </w:pPr>
            <w:r>
              <w:rPr>
                <w:b/>
              </w:rPr>
              <w:t>ABCDEF</w:t>
            </w:r>
          </w:p>
        </w:tc>
        <w:tc>
          <w:tcPr>
            <w:tcW w:w="2214" w:type="dxa"/>
          </w:tcPr>
          <w:p w:rsidR="00D9415B" w:rsidRDefault="00D9415B" w:rsidP="00F146CB">
            <w:pPr>
              <w:rPr>
                <w:b/>
              </w:rPr>
            </w:pPr>
          </w:p>
        </w:tc>
      </w:tr>
      <w:tr w:rsidR="00D9415B" w:rsidTr="0033522C">
        <w:tc>
          <w:tcPr>
            <w:tcW w:w="2214" w:type="dxa"/>
          </w:tcPr>
          <w:p w:rsidR="00D9415B" w:rsidRDefault="00D9415B" w:rsidP="00F146CB">
            <w:pPr>
              <w:rPr>
                <w:b/>
              </w:rPr>
            </w:pPr>
            <w:r>
              <w:rPr>
                <w:b/>
              </w:rPr>
              <w:t xml:space="preserve">Driver </w:t>
            </w:r>
          </w:p>
        </w:tc>
        <w:tc>
          <w:tcPr>
            <w:tcW w:w="2214" w:type="dxa"/>
          </w:tcPr>
          <w:p w:rsidR="00D9415B" w:rsidRDefault="00D9415B" w:rsidP="00F146CB">
            <w:pPr>
              <w:rPr>
                <w:b/>
              </w:rPr>
            </w:pPr>
            <w:r>
              <w:rPr>
                <w:b/>
              </w:rPr>
              <w:t>JONES</w:t>
            </w:r>
          </w:p>
        </w:tc>
        <w:tc>
          <w:tcPr>
            <w:tcW w:w="2214" w:type="dxa"/>
          </w:tcPr>
          <w:p w:rsidR="00D9415B" w:rsidRDefault="001C4700" w:rsidP="00F146CB">
            <w:pPr>
              <w:rPr>
                <w:b/>
              </w:rPr>
            </w:pPr>
            <w:r>
              <w:rPr>
                <w:b/>
              </w:rPr>
              <w:t xml:space="preserve">Driver </w:t>
            </w:r>
            <w:proofErr w:type="spellStart"/>
            <w:r>
              <w:rPr>
                <w:b/>
              </w:rPr>
              <w:t>Lic</w:t>
            </w:r>
            <w:proofErr w:type="spellEnd"/>
            <w:r>
              <w:rPr>
                <w:b/>
              </w:rPr>
              <w:t xml:space="preserve">: </w:t>
            </w:r>
            <w:r w:rsidR="00D9415B">
              <w:rPr>
                <w:b/>
              </w:rPr>
              <w:t>XYZ123</w:t>
            </w:r>
          </w:p>
          <w:p w:rsidR="001C4700" w:rsidRDefault="001C4700" w:rsidP="00F146CB">
            <w:pPr>
              <w:rPr>
                <w:b/>
              </w:rPr>
            </w:pPr>
            <w:r>
              <w:rPr>
                <w:b/>
              </w:rPr>
              <w:t>Driver Card: 501</w:t>
            </w:r>
          </w:p>
        </w:tc>
        <w:tc>
          <w:tcPr>
            <w:tcW w:w="2214" w:type="dxa"/>
          </w:tcPr>
          <w:p w:rsidR="00D9415B" w:rsidRDefault="00D9415B" w:rsidP="00F146CB">
            <w:pPr>
              <w:rPr>
                <w:b/>
              </w:rPr>
            </w:pPr>
          </w:p>
        </w:tc>
      </w:tr>
      <w:tr w:rsidR="00D9415B" w:rsidTr="0033522C">
        <w:tc>
          <w:tcPr>
            <w:tcW w:w="2214" w:type="dxa"/>
            <w:shd w:val="clear" w:color="auto" w:fill="990000"/>
          </w:tcPr>
          <w:p w:rsidR="00D9415B" w:rsidRDefault="00D9415B" w:rsidP="00F146CB">
            <w:pPr>
              <w:rPr>
                <w:b/>
              </w:rPr>
            </w:pPr>
            <w:proofErr w:type="spellStart"/>
            <w:r>
              <w:rPr>
                <w:b/>
              </w:rPr>
              <w:t>O</w:t>
            </w:r>
            <w:r w:rsidR="0092433C">
              <w:rPr>
                <w:b/>
              </w:rPr>
              <w:t>r</w:t>
            </w:r>
            <w:r>
              <w:rPr>
                <w:b/>
              </w:rPr>
              <w:t>derLine</w:t>
            </w:r>
            <w:proofErr w:type="spellEnd"/>
            <w:r>
              <w:rPr>
                <w:b/>
              </w:rPr>
              <w:t>#</w:t>
            </w:r>
          </w:p>
        </w:tc>
        <w:tc>
          <w:tcPr>
            <w:tcW w:w="2214" w:type="dxa"/>
            <w:shd w:val="clear" w:color="auto" w:fill="990000"/>
          </w:tcPr>
          <w:p w:rsidR="00D9415B" w:rsidRDefault="00D9415B" w:rsidP="00F146CB">
            <w:pPr>
              <w:rPr>
                <w:b/>
              </w:rPr>
            </w:pPr>
            <w:r>
              <w:rPr>
                <w:b/>
              </w:rPr>
              <w:t>Location</w:t>
            </w:r>
          </w:p>
        </w:tc>
        <w:tc>
          <w:tcPr>
            <w:tcW w:w="2214" w:type="dxa"/>
            <w:shd w:val="clear" w:color="auto" w:fill="990000"/>
          </w:tcPr>
          <w:p w:rsidR="00D9415B" w:rsidRDefault="00D9415B" w:rsidP="00F146CB">
            <w:pPr>
              <w:rPr>
                <w:b/>
              </w:rPr>
            </w:pPr>
            <w:r>
              <w:rPr>
                <w:b/>
              </w:rPr>
              <w:t>Product</w:t>
            </w:r>
          </w:p>
        </w:tc>
        <w:tc>
          <w:tcPr>
            <w:tcW w:w="2214" w:type="dxa"/>
            <w:shd w:val="clear" w:color="auto" w:fill="990000"/>
          </w:tcPr>
          <w:p w:rsidR="00D9415B" w:rsidRDefault="00D9415B" w:rsidP="00F146CB">
            <w:pPr>
              <w:rPr>
                <w:b/>
              </w:rPr>
            </w:pPr>
            <w:r>
              <w:rPr>
                <w:b/>
              </w:rPr>
              <w:t>Quantity</w:t>
            </w:r>
          </w:p>
        </w:tc>
      </w:tr>
      <w:tr w:rsidR="00D9415B" w:rsidTr="0033522C">
        <w:tc>
          <w:tcPr>
            <w:tcW w:w="2214" w:type="dxa"/>
          </w:tcPr>
          <w:p w:rsidR="00D9415B" w:rsidRDefault="00D9415B" w:rsidP="00F146CB">
            <w:pPr>
              <w:rPr>
                <w:b/>
              </w:rPr>
            </w:pPr>
            <w:r>
              <w:rPr>
                <w:b/>
              </w:rPr>
              <w:t>1</w:t>
            </w:r>
          </w:p>
        </w:tc>
        <w:tc>
          <w:tcPr>
            <w:tcW w:w="2214" w:type="dxa"/>
          </w:tcPr>
          <w:p w:rsidR="00D9415B" w:rsidRDefault="0092433C" w:rsidP="00F146CB">
            <w:pPr>
              <w:rPr>
                <w:b/>
              </w:rPr>
            </w:pPr>
            <w:r>
              <w:rPr>
                <w:b/>
              </w:rPr>
              <w:t xml:space="preserve">Site </w:t>
            </w:r>
            <w:r w:rsidR="00D9415B">
              <w:rPr>
                <w:b/>
              </w:rPr>
              <w:t>Loc#11</w:t>
            </w:r>
          </w:p>
          <w:p w:rsidR="00F16D50" w:rsidRDefault="00F16D50" w:rsidP="00F146CB">
            <w:pPr>
              <w:rPr>
                <w:b/>
              </w:rPr>
            </w:pPr>
            <w:r>
              <w:rPr>
                <w:b/>
              </w:rPr>
              <w:t>1234 1</w:t>
            </w:r>
            <w:r w:rsidRPr="00F16D50">
              <w:rPr>
                <w:b/>
                <w:vertAlign w:val="superscript"/>
              </w:rPr>
              <w:t>st</w:t>
            </w:r>
            <w:r>
              <w:rPr>
                <w:b/>
              </w:rPr>
              <w:t xml:space="preserve"> St</w:t>
            </w:r>
          </w:p>
          <w:p w:rsidR="00F16D50" w:rsidRDefault="00F16D50" w:rsidP="00F146CB">
            <w:pPr>
              <w:rPr>
                <w:b/>
              </w:rPr>
            </w:pPr>
            <w:r>
              <w:rPr>
                <w:b/>
              </w:rPr>
              <w:t>Omaha, NE 68114</w:t>
            </w:r>
          </w:p>
          <w:p w:rsidR="00515414" w:rsidRDefault="00515414">
            <w:pPr>
              <w:rPr>
                <w:rFonts w:eastAsia="Times New Roman"/>
                <w:b/>
                <w:lang w:val="en-US"/>
              </w:rPr>
            </w:pPr>
            <w:r>
              <w:rPr>
                <w:b/>
              </w:rPr>
              <w:t>Ship</w:t>
            </w:r>
            <w:r w:rsidR="0092433C">
              <w:rPr>
                <w:b/>
              </w:rPr>
              <w:t xml:space="preserve"> T</w:t>
            </w:r>
            <w:r>
              <w:rPr>
                <w:b/>
              </w:rPr>
              <w:t>o = 111222</w:t>
            </w:r>
          </w:p>
        </w:tc>
        <w:tc>
          <w:tcPr>
            <w:tcW w:w="2214" w:type="dxa"/>
          </w:tcPr>
          <w:p w:rsidR="00D9415B" w:rsidRDefault="00D9415B" w:rsidP="00F146CB">
            <w:pPr>
              <w:rPr>
                <w:b/>
              </w:rPr>
            </w:pPr>
            <w:r>
              <w:rPr>
                <w:b/>
              </w:rPr>
              <w:t>UL95</w:t>
            </w:r>
            <w:r w:rsidR="001A2C01">
              <w:rPr>
                <w:b/>
              </w:rPr>
              <w:t>/P23</w:t>
            </w:r>
          </w:p>
        </w:tc>
        <w:tc>
          <w:tcPr>
            <w:tcW w:w="2214" w:type="dxa"/>
          </w:tcPr>
          <w:p w:rsidR="00D9415B" w:rsidRDefault="005048A7" w:rsidP="00F146CB">
            <w:pPr>
              <w:rPr>
                <w:b/>
              </w:rPr>
            </w:pPr>
            <w:r>
              <w:rPr>
                <w:b/>
              </w:rPr>
              <w:t>17000 Litres</w:t>
            </w:r>
          </w:p>
        </w:tc>
      </w:tr>
      <w:tr w:rsidR="00D9415B" w:rsidTr="0033522C">
        <w:tc>
          <w:tcPr>
            <w:tcW w:w="2214" w:type="dxa"/>
          </w:tcPr>
          <w:p w:rsidR="00D9415B" w:rsidRDefault="00D9415B" w:rsidP="00F146CB">
            <w:pPr>
              <w:rPr>
                <w:b/>
              </w:rPr>
            </w:pPr>
            <w:r>
              <w:rPr>
                <w:b/>
              </w:rPr>
              <w:t>2</w:t>
            </w:r>
          </w:p>
        </w:tc>
        <w:tc>
          <w:tcPr>
            <w:tcW w:w="2214" w:type="dxa"/>
          </w:tcPr>
          <w:p w:rsidR="00D9415B" w:rsidRDefault="0092433C" w:rsidP="00F146CB">
            <w:pPr>
              <w:rPr>
                <w:b/>
              </w:rPr>
            </w:pPr>
            <w:r>
              <w:rPr>
                <w:b/>
              </w:rPr>
              <w:t>Site</w:t>
            </w:r>
            <w:r w:rsidR="00D9415B">
              <w:rPr>
                <w:b/>
              </w:rPr>
              <w:t xml:space="preserve"> Loc#21</w:t>
            </w:r>
          </w:p>
          <w:p w:rsidR="00F16D50" w:rsidRDefault="00F16D50" w:rsidP="00F146CB">
            <w:pPr>
              <w:rPr>
                <w:b/>
              </w:rPr>
            </w:pPr>
            <w:r>
              <w:rPr>
                <w:b/>
              </w:rPr>
              <w:t>4567 10</w:t>
            </w:r>
            <w:r w:rsidRPr="00F16D50">
              <w:rPr>
                <w:b/>
                <w:vertAlign w:val="superscript"/>
              </w:rPr>
              <w:t>th</w:t>
            </w:r>
            <w:r>
              <w:rPr>
                <w:b/>
              </w:rPr>
              <w:t xml:space="preserve"> St</w:t>
            </w:r>
          </w:p>
          <w:p w:rsidR="00F16D50" w:rsidRDefault="00515414" w:rsidP="00F146CB">
            <w:pPr>
              <w:rPr>
                <w:b/>
              </w:rPr>
            </w:pPr>
            <w:r>
              <w:rPr>
                <w:b/>
              </w:rPr>
              <w:t>Council Bluffs</w:t>
            </w:r>
            <w:r w:rsidR="00F16D50">
              <w:rPr>
                <w:b/>
              </w:rPr>
              <w:t xml:space="preserve">,  </w:t>
            </w:r>
            <w:r>
              <w:rPr>
                <w:b/>
              </w:rPr>
              <w:t xml:space="preserve">IA </w:t>
            </w:r>
            <w:r w:rsidRPr="00515414">
              <w:rPr>
                <w:rStyle w:val="st"/>
                <w:b/>
                <w:color w:val="222222"/>
              </w:rPr>
              <w:t>51501</w:t>
            </w:r>
          </w:p>
          <w:p w:rsidR="00515414" w:rsidRDefault="00515414">
            <w:pPr>
              <w:rPr>
                <w:rFonts w:eastAsia="Times New Roman"/>
                <w:b/>
                <w:lang w:val="en-US"/>
              </w:rPr>
            </w:pPr>
            <w:r>
              <w:rPr>
                <w:b/>
              </w:rPr>
              <w:t>Ship</w:t>
            </w:r>
            <w:r w:rsidR="0092433C">
              <w:rPr>
                <w:b/>
              </w:rPr>
              <w:t xml:space="preserve"> T</w:t>
            </w:r>
            <w:r>
              <w:rPr>
                <w:b/>
              </w:rPr>
              <w:t>o = 111333</w:t>
            </w:r>
          </w:p>
        </w:tc>
        <w:tc>
          <w:tcPr>
            <w:tcW w:w="2214" w:type="dxa"/>
          </w:tcPr>
          <w:p w:rsidR="00D9415B" w:rsidRDefault="00D9415B" w:rsidP="001A2C01">
            <w:pPr>
              <w:rPr>
                <w:b/>
              </w:rPr>
            </w:pPr>
            <w:r>
              <w:rPr>
                <w:b/>
              </w:rPr>
              <w:t>UL87</w:t>
            </w:r>
            <w:r w:rsidR="001A2C01">
              <w:rPr>
                <w:b/>
              </w:rPr>
              <w:t>/D5E</w:t>
            </w:r>
          </w:p>
        </w:tc>
        <w:tc>
          <w:tcPr>
            <w:tcW w:w="2214" w:type="dxa"/>
          </w:tcPr>
          <w:p w:rsidR="00D9415B" w:rsidRDefault="005048A7" w:rsidP="00F146CB">
            <w:pPr>
              <w:rPr>
                <w:b/>
              </w:rPr>
            </w:pPr>
            <w:r>
              <w:rPr>
                <w:b/>
              </w:rPr>
              <w:t>17000 Litres</w:t>
            </w:r>
          </w:p>
        </w:tc>
      </w:tr>
    </w:tbl>
    <w:p w:rsidR="00D9415B" w:rsidRPr="00F15949" w:rsidRDefault="00D9415B" w:rsidP="00D9415B">
      <w:pPr>
        <w:rPr>
          <w:b/>
        </w:rPr>
      </w:pPr>
    </w:p>
    <w:p w:rsidR="00221A88" w:rsidRPr="00C864BB" w:rsidRDefault="00D9415B" w:rsidP="00221A88">
      <w:pPr>
        <w:pStyle w:val="Heading2"/>
        <w:rPr>
          <w:u w:val="single"/>
        </w:rPr>
      </w:pPr>
      <w:bookmarkStart w:id="11" w:name="_Toc342333890"/>
      <w:r w:rsidRPr="00C864BB">
        <w:rPr>
          <w:u w:val="single"/>
        </w:rPr>
        <w:t>Scenarios</w:t>
      </w:r>
      <w:r w:rsidR="0092433C" w:rsidRPr="00C864BB">
        <w:rPr>
          <w:u w:val="single"/>
        </w:rPr>
        <w:t xml:space="preserve"> using the </w:t>
      </w:r>
      <w:proofErr w:type="spellStart"/>
      <w:r w:rsidR="0092433C" w:rsidRPr="00C864BB">
        <w:rPr>
          <w:u w:val="single"/>
        </w:rPr>
        <w:t>LoadingType</w:t>
      </w:r>
      <w:proofErr w:type="spellEnd"/>
      <w:r w:rsidR="0092433C" w:rsidRPr="00C864BB">
        <w:rPr>
          <w:u w:val="single"/>
        </w:rPr>
        <w:t xml:space="preserve"> field:</w:t>
      </w:r>
      <w:bookmarkEnd w:id="11"/>
    </w:p>
    <w:p w:rsidR="0092433C" w:rsidRDefault="0092433C" w:rsidP="0033522C">
      <w:pPr>
        <w:spacing w:before="120" w:after="120"/>
      </w:pPr>
      <w:r>
        <w:t xml:space="preserve">In the Authorization Request message </w:t>
      </w:r>
      <w:r w:rsidR="00AD7F23">
        <w:t>structure;</w:t>
      </w:r>
      <w:r>
        <w:t xml:space="preserve"> there is one key data field which will determine the type of loading which was requested by the driver.  The content of the Authorization Response is highly dependent on this field.  Below is a description of the 3 possible enumerations for the </w:t>
      </w:r>
      <w:proofErr w:type="spellStart"/>
      <w:r>
        <w:t>LoadingType</w:t>
      </w:r>
      <w:proofErr w:type="spellEnd"/>
      <w:r>
        <w:t xml:space="preserve"> field:</w:t>
      </w:r>
    </w:p>
    <w:p w:rsidR="00A916A8" w:rsidRDefault="00221A88" w:rsidP="0033522C">
      <w:pPr>
        <w:pStyle w:val="ListParagraph"/>
        <w:numPr>
          <w:ilvl w:val="0"/>
          <w:numId w:val="46"/>
        </w:numPr>
        <w:spacing w:before="120" w:after="120"/>
        <w:contextualSpacing w:val="0"/>
      </w:pPr>
      <w:proofErr w:type="spellStart"/>
      <w:r w:rsidRPr="0033522C">
        <w:rPr>
          <w:b/>
        </w:rPr>
        <w:t>RackPickup</w:t>
      </w:r>
      <w:proofErr w:type="spellEnd"/>
      <w:r>
        <w:t xml:space="preserve"> </w:t>
      </w:r>
      <w:r w:rsidR="00A916A8">
        <w:t xml:space="preserve">– This common loading type is used when the order being loaded is not stored in the terminal automation system or the clearing house.  The order is simply entered by the driver at the rack at the time of loading.  The seller does not require the customer to enter the order in advance, </w:t>
      </w:r>
      <w:r w:rsidR="0059692F">
        <w:t>but</w:t>
      </w:r>
      <w:r w:rsidR="00A916A8">
        <w:t xml:space="preserve"> the seller will require the customer to be authorized at the loading rack.</w:t>
      </w:r>
    </w:p>
    <w:p w:rsidR="00221A88" w:rsidRDefault="00A916A8" w:rsidP="0033522C">
      <w:pPr>
        <w:pStyle w:val="ListParagraph"/>
        <w:spacing w:before="120" w:after="120"/>
        <w:contextualSpacing w:val="0"/>
      </w:pPr>
      <w:r>
        <w:t xml:space="preserve">This loading type may or may not have </w:t>
      </w:r>
      <w:r w:rsidR="00221A88">
        <w:t xml:space="preserve">an </w:t>
      </w:r>
      <w:r>
        <w:t>o</w:t>
      </w:r>
      <w:r w:rsidR="00221A88">
        <w:t xml:space="preserve">rder </w:t>
      </w:r>
      <w:r>
        <w:t>n</w:t>
      </w:r>
      <w:r w:rsidR="00221A88">
        <w:t xml:space="preserve">umber entered in the Planned Lifting </w:t>
      </w:r>
      <w:r>
        <w:t>s</w:t>
      </w:r>
      <w:r w:rsidR="00221A88">
        <w:t xml:space="preserve">ection.  </w:t>
      </w:r>
      <w:r>
        <w:t>If</w:t>
      </w:r>
      <w:r w:rsidR="0059692F">
        <w:t xml:space="preserve"> the order number is </w:t>
      </w:r>
      <w:r>
        <w:t xml:space="preserve">entered, </w:t>
      </w:r>
      <w:r w:rsidR="0059692F">
        <w:t>it</w:t>
      </w:r>
      <w:r w:rsidR="00221A88">
        <w:t xml:space="preserve"> will simply be used as a reference in the </w:t>
      </w:r>
      <w:r>
        <w:t>c</w:t>
      </w:r>
      <w:r w:rsidR="00221A88">
        <w:t xml:space="preserve">learing </w:t>
      </w:r>
      <w:r>
        <w:t>h</w:t>
      </w:r>
      <w:r w:rsidR="00221A88">
        <w:t xml:space="preserve">ouse and will be stored on the BOL </w:t>
      </w:r>
      <w:r w:rsidR="0059692F">
        <w:t>returned to the Clearing house.</w:t>
      </w:r>
    </w:p>
    <w:p w:rsidR="00221A88" w:rsidRDefault="00221A88" w:rsidP="0033522C">
      <w:pPr>
        <w:pStyle w:val="ListParagraph"/>
        <w:numPr>
          <w:ilvl w:val="0"/>
          <w:numId w:val="46"/>
        </w:numPr>
        <w:spacing w:before="120" w:after="120"/>
        <w:contextualSpacing w:val="0"/>
      </w:pPr>
      <w:proofErr w:type="spellStart"/>
      <w:r w:rsidRPr="0033522C">
        <w:rPr>
          <w:b/>
        </w:rPr>
        <w:t>RealTimeRemoteOrderDownload</w:t>
      </w:r>
      <w:proofErr w:type="spellEnd"/>
      <w:r w:rsidRPr="0033522C">
        <w:rPr>
          <w:b/>
        </w:rPr>
        <w:t xml:space="preserve"> </w:t>
      </w:r>
      <w:r>
        <w:t xml:space="preserve">– </w:t>
      </w:r>
      <w:r w:rsidR="00FF5B58">
        <w:t xml:space="preserve">This loading type </w:t>
      </w:r>
      <w:r w:rsidR="00B6229B">
        <w:t xml:space="preserve">is used when the order details are stored in the clearinghouse, not in the terminal automation system.  After receiving the Authorization Request, the </w:t>
      </w:r>
      <w:r w:rsidR="00FF5B58">
        <w:t>cl</w:t>
      </w:r>
      <w:r>
        <w:t xml:space="preserve">earing </w:t>
      </w:r>
      <w:r w:rsidR="00FF5B58">
        <w:t>h</w:t>
      </w:r>
      <w:r>
        <w:t xml:space="preserve">ouse </w:t>
      </w:r>
      <w:r w:rsidR="00B6229B">
        <w:t>will</w:t>
      </w:r>
      <w:r>
        <w:t xml:space="preserve"> pus</w:t>
      </w:r>
      <w:r w:rsidR="00D9415B">
        <w:t xml:space="preserve">h an order </w:t>
      </w:r>
      <w:r w:rsidR="00FF5B58">
        <w:t xml:space="preserve">to the terminal automation system </w:t>
      </w:r>
      <w:r w:rsidR="00D9415B">
        <w:t xml:space="preserve">in the </w:t>
      </w:r>
      <w:r w:rsidR="00FF5B58">
        <w:t>Authorization R</w:t>
      </w:r>
      <w:r w:rsidR="00D9415B">
        <w:t>esponse</w:t>
      </w:r>
      <w:r w:rsidR="00FF5B58">
        <w:t xml:space="preserve"> message structure</w:t>
      </w:r>
      <w:r w:rsidR="00D9415B">
        <w:t xml:space="preserve">.  </w:t>
      </w:r>
    </w:p>
    <w:p w:rsidR="009D42A6" w:rsidRDefault="00D9415B" w:rsidP="0033522C">
      <w:pPr>
        <w:pStyle w:val="ListParagraph"/>
        <w:numPr>
          <w:ilvl w:val="1"/>
          <w:numId w:val="46"/>
        </w:numPr>
        <w:spacing w:before="120" w:after="120"/>
        <w:ind w:left="1080"/>
        <w:contextualSpacing w:val="0"/>
      </w:pPr>
      <w:r>
        <w:t xml:space="preserve">Order Number </w:t>
      </w:r>
      <w:r w:rsidR="00E171D3">
        <w:t xml:space="preserve">Populated </w:t>
      </w:r>
      <w:r w:rsidR="00A916A8">
        <w:t>–</w:t>
      </w:r>
      <w:r w:rsidR="00E171D3">
        <w:t xml:space="preserve"> </w:t>
      </w:r>
      <w:r w:rsidR="009D42A6">
        <w:t xml:space="preserve">If the order number included in the Authorization Request </w:t>
      </w:r>
      <w:r w:rsidR="0059692F">
        <w:t xml:space="preserve">and the order </w:t>
      </w:r>
      <w:r w:rsidR="009D42A6">
        <w:t xml:space="preserve">is found in the clearing house, the clearing house will include all the order details in the Authorization Response message </w:t>
      </w:r>
      <w:r w:rsidR="0059692F">
        <w:t xml:space="preserve">in the </w:t>
      </w:r>
      <w:proofErr w:type="spellStart"/>
      <w:r w:rsidR="0059692F">
        <w:t>OrderInfo</w:t>
      </w:r>
      <w:proofErr w:type="spellEnd"/>
      <w:r w:rsidR="0059692F">
        <w:t xml:space="preserve"> Section.  Aggregate amounts for the products on the order will also be returned in the </w:t>
      </w:r>
      <w:proofErr w:type="spellStart"/>
      <w:r w:rsidR="0059692F">
        <w:t>ProductList</w:t>
      </w:r>
      <w:proofErr w:type="spellEnd"/>
      <w:r w:rsidR="0059692F">
        <w:t xml:space="preserve"> section.  The loading of product should be limited to the amounts in the </w:t>
      </w:r>
      <w:proofErr w:type="spellStart"/>
      <w:r w:rsidR="0059692F">
        <w:t>ProductList</w:t>
      </w:r>
      <w:proofErr w:type="spellEnd"/>
      <w:r w:rsidR="0059692F">
        <w:t xml:space="preserve"> section unless the amounts are unspecified in which case the order should be treated as a </w:t>
      </w:r>
      <w:proofErr w:type="spellStart"/>
      <w:r w:rsidR="0059692F">
        <w:t>RackPickup</w:t>
      </w:r>
      <w:proofErr w:type="spellEnd"/>
      <w:r w:rsidR="0059692F">
        <w:t xml:space="preserve"> Authorization (load as much of each product as necessary).</w:t>
      </w:r>
    </w:p>
    <w:p w:rsidR="0059692F" w:rsidRDefault="00E171D3" w:rsidP="0033522C">
      <w:pPr>
        <w:pStyle w:val="ListParagraph"/>
        <w:spacing w:before="120" w:after="120"/>
        <w:ind w:left="1080"/>
        <w:contextualSpacing w:val="0"/>
      </w:pPr>
      <w:r>
        <w:t>If</w:t>
      </w:r>
      <w:r w:rsidR="00A916A8">
        <w:t xml:space="preserve"> </w:t>
      </w:r>
      <w:r w:rsidR="00FF5B58">
        <w:t>the o</w:t>
      </w:r>
      <w:r>
        <w:t xml:space="preserve">rder </w:t>
      </w:r>
      <w:r w:rsidR="00FF5B58">
        <w:t>n</w:t>
      </w:r>
      <w:r>
        <w:t xml:space="preserve">umber </w:t>
      </w:r>
      <w:r w:rsidR="00FF5B58">
        <w:t xml:space="preserve">included in the Authorization Request message </w:t>
      </w:r>
      <w:r>
        <w:t>is not f</w:t>
      </w:r>
      <w:r w:rsidR="00795BB4">
        <w:t>ound</w:t>
      </w:r>
      <w:r>
        <w:t xml:space="preserve"> </w:t>
      </w:r>
      <w:r w:rsidR="00FF5B58">
        <w:t xml:space="preserve">in </w:t>
      </w:r>
      <w:r>
        <w:t xml:space="preserve">the </w:t>
      </w:r>
      <w:r w:rsidR="00FF5B58">
        <w:t>c</w:t>
      </w:r>
      <w:r>
        <w:t xml:space="preserve">learing </w:t>
      </w:r>
      <w:r w:rsidR="00FF5B58">
        <w:t>h</w:t>
      </w:r>
      <w:r>
        <w:t>ouse</w:t>
      </w:r>
      <w:r w:rsidR="00FF5B58">
        <w:t>, the clearing</w:t>
      </w:r>
      <w:r w:rsidR="007B4E8B">
        <w:t xml:space="preserve"> </w:t>
      </w:r>
      <w:r w:rsidR="00FF5B58">
        <w:t>house</w:t>
      </w:r>
      <w:r>
        <w:t xml:space="preserve"> </w:t>
      </w:r>
      <w:r w:rsidR="007B4E8B">
        <w:t xml:space="preserve">will send a </w:t>
      </w:r>
      <w:r>
        <w:t>D</w:t>
      </w:r>
      <w:r w:rsidR="00795BB4">
        <w:t>ENY</w:t>
      </w:r>
      <w:r>
        <w:t xml:space="preserve"> </w:t>
      </w:r>
      <w:r w:rsidR="007B4E8B">
        <w:t xml:space="preserve">message to the terminal in the Authorization Response message with an error code of </w:t>
      </w:r>
      <w:r>
        <w:t xml:space="preserve">Order Number </w:t>
      </w:r>
      <w:r w:rsidR="007B4E8B">
        <w:t>N</w:t>
      </w:r>
      <w:r>
        <w:t>ot Found</w:t>
      </w:r>
      <w:r w:rsidR="0059692F">
        <w:t xml:space="preserve">, Please verify the number is correct.  </w:t>
      </w:r>
    </w:p>
    <w:p w:rsidR="003A54CA" w:rsidRDefault="0059692F" w:rsidP="0033522C">
      <w:pPr>
        <w:pStyle w:val="ListParagraph"/>
        <w:spacing w:before="120" w:after="120"/>
        <w:ind w:left="1080"/>
        <w:contextualSpacing w:val="0"/>
      </w:pPr>
      <w:r>
        <w:t>Note: ALL leading zeros will be stripped from Order Numbers enter in the system to alleviate false error codes, trailing zeros should be entered.</w:t>
      </w:r>
    </w:p>
    <w:p w:rsidR="00E171D3" w:rsidRPr="0033522C" w:rsidRDefault="00D9415B" w:rsidP="0033522C">
      <w:pPr>
        <w:pStyle w:val="ListParagraph"/>
        <w:numPr>
          <w:ilvl w:val="1"/>
          <w:numId w:val="46"/>
        </w:numPr>
        <w:spacing w:before="120" w:after="120"/>
        <w:ind w:left="1080"/>
        <w:contextualSpacing w:val="0"/>
        <w:rPr>
          <w:b/>
        </w:rPr>
      </w:pPr>
      <w:r>
        <w:t xml:space="preserve">Order Number Not </w:t>
      </w:r>
      <w:r w:rsidR="00E171D3">
        <w:t xml:space="preserve">Populated – </w:t>
      </w:r>
      <w:r w:rsidR="009D42A6">
        <w:t>If the order number is not included in the Authorization Request message</w:t>
      </w:r>
      <w:r w:rsidR="00E171D3">
        <w:t xml:space="preserve">, the </w:t>
      </w:r>
      <w:r w:rsidR="009D42A6">
        <w:t>c</w:t>
      </w:r>
      <w:r w:rsidR="00E171D3">
        <w:t xml:space="preserve">learing </w:t>
      </w:r>
      <w:r w:rsidR="009D42A6">
        <w:t>h</w:t>
      </w:r>
      <w:r w:rsidR="00E171D3">
        <w:t xml:space="preserve">ouse will </w:t>
      </w:r>
      <w:r w:rsidR="009D42A6">
        <w:t xml:space="preserve">include all the order details for the next applicable order for that </w:t>
      </w:r>
      <w:r w:rsidR="0059692F">
        <w:t xml:space="preserve">terminal, </w:t>
      </w:r>
      <w:r w:rsidR="009D42A6">
        <w:t xml:space="preserve">customer, driver, or haulier in the Authorization Response message sent to the terminal automation system.  </w:t>
      </w:r>
      <w:r w:rsidR="00D15522">
        <w:t xml:space="preserve">Since the Data Clearing house is auto picking the order, all available party information for terminal, seller, consignee, </w:t>
      </w:r>
      <w:proofErr w:type="spellStart"/>
      <w:r w:rsidR="00D15522">
        <w:t>soldto</w:t>
      </w:r>
      <w:proofErr w:type="spellEnd"/>
      <w:r w:rsidR="00D15522">
        <w:t xml:space="preserve">, </w:t>
      </w:r>
      <w:proofErr w:type="spellStart"/>
      <w:r w:rsidR="00D15522">
        <w:t>shipto</w:t>
      </w:r>
      <w:proofErr w:type="spellEnd"/>
      <w:r w:rsidR="00D15522">
        <w:t>, carrier and driver, MOT information should be included in the request so the system can return the correct data to the end user</w:t>
      </w:r>
      <w:r w:rsidR="009D42A6">
        <w:t>.</w:t>
      </w:r>
      <w:r w:rsidR="00D15522">
        <w:t xml:space="preserve">  </w:t>
      </w:r>
    </w:p>
    <w:p w:rsidR="00B6229B" w:rsidRDefault="003A54CA" w:rsidP="0033522C">
      <w:pPr>
        <w:pStyle w:val="ListParagraph"/>
        <w:numPr>
          <w:ilvl w:val="0"/>
          <w:numId w:val="46"/>
        </w:numPr>
        <w:spacing w:before="120" w:after="120"/>
        <w:contextualSpacing w:val="0"/>
      </w:pPr>
      <w:proofErr w:type="spellStart"/>
      <w:r w:rsidRPr="0033522C">
        <w:rPr>
          <w:b/>
        </w:rPr>
        <w:t>Local</w:t>
      </w:r>
      <w:r w:rsidR="00221A88" w:rsidRPr="0033522C">
        <w:rPr>
          <w:b/>
        </w:rPr>
        <w:t>TerminalOrder</w:t>
      </w:r>
      <w:proofErr w:type="spellEnd"/>
      <w:r w:rsidR="00D9415B">
        <w:t xml:space="preserve"> – </w:t>
      </w:r>
      <w:r w:rsidR="00B6229B">
        <w:t xml:space="preserve">This loading type is used when the order details are stored locally in the terminal automation system.  When using this </w:t>
      </w:r>
      <w:proofErr w:type="spellStart"/>
      <w:r w:rsidR="00B6229B">
        <w:t>LoadingType</w:t>
      </w:r>
      <w:proofErr w:type="spellEnd"/>
      <w:r w:rsidR="00B6229B">
        <w:t>,</w:t>
      </w:r>
      <w:r w:rsidR="00D9415B">
        <w:t xml:space="preserve"> the </w:t>
      </w:r>
      <w:r w:rsidR="00B6229B">
        <w:t>o</w:t>
      </w:r>
      <w:r w:rsidR="00D9415B">
        <w:t xml:space="preserve">rder </w:t>
      </w:r>
      <w:r w:rsidR="00B6229B">
        <w:t>n</w:t>
      </w:r>
      <w:r w:rsidR="00D9415B">
        <w:t>umber</w:t>
      </w:r>
      <w:r w:rsidR="00B6229B">
        <w:t xml:space="preserve">, products and requested quantities </w:t>
      </w:r>
      <w:r w:rsidR="00D9415B">
        <w:t xml:space="preserve">should be </w:t>
      </w:r>
      <w:r w:rsidR="00B6229B">
        <w:t xml:space="preserve">populated </w:t>
      </w:r>
      <w:r w:rsidR="00D9415B">
        <w:t xml:space="preserve">in </w:t>
      </w:r>
      <w:r w:rsidR="00A34F6E">
        <w:t>the Auth</w:t>
      </w:r>
      <w:r w:rsidR="00B6229B">
        <w:t>orization</w:t>
      </w:r>
      <w:r w:rsidR="00A34F6E">
        <w:t xml:space="preserve"> Request </w:t>
      </w:r>
      <w:r w:rsidR="00B6229B">
        <w:t>m</w:t>
      </w:r>
      <w:r w:rsidR="00A34F6E">
        <w:t xml:space="preserve">essage.  </w:t>
      </w:r>
    </w:p>
    <w:p w:rsidR="00D9415B" w:rsidRPr="00221A88" w:rsidRDefault="00397B07" w:rsidP="0033522C">
      <w:pPr>
        <w:pStyle w:val="ListParagraph"/>
        <w:spacing w:before="120" w:after="120"/>
        <w:contextualSpacing w:val="0"/>
      </w:pPr>
      <w:r>
        <w:t>Depending on the</w:t>
      </w:r>
      <w:r w:rsidR="00B6229B">
        <w:t xml:space="preserve"> </w:t>
      </w:r>
      <w:r>
        <w:t xml:space="preserve">implementation of the </w:t>
      </w:r>
      <w:r w:rsidR="00B6229B">
        <w:t>clearing house</w:t>
      </w:r>
      <w:r>
        <w:t>, the Authorization Response message</w:t>
      </w:r>
      <w:r w:rsidRPr="00B6229B">
        <w:t xml:space="preserve"> </w:t>
      </w:r>
      <w:r w:rsidR="00B6229B" w:rsidRPr="0033522C">
        <w:t xml:space="preserve">will </w:t>
      </w:r>
      <w:r>
        <w:t>include</w:t>
      </w:r>
      <w:r w:rsidR="00B6229B" w:rsidRPr="0033522C">
        <w:t xml:space="preserve"> </w:t>
      </w:r>
      <w:r w:rsidR="00B6229B" w:rsidRPr="00B6229B">
        <w:t>a</w:t>
      </w:r>
      <w:r w:rsidR="00A34F6E">
        <w:t xml:space="preserve"> list of </w:t>
      </w:r>
      <w:r w:rsidR="00B6229B">
        <w:t xml:space="preserve">the </w:t>
      </w:r>
      <w:r w:rsidR="00A34F6E">
        <w:t>authorized products</w:t>
      </w:r>
      <w:r>
        <w:t xml:space="preserve">.  </w:t>
      </w:r>
      <w:r w:rsidR="00B6229B">
        <w:t xml:space="preserve">The </w:t>
      </w:r>
      <w:r w:rsidR="00A34F6E">
        <w:t xml:space="preserve">TAS </w:t>
      </w:r>
      <w:r w:rsidR="00B6229B">
        <w:t xml:space="preserve">will then </w:t>
      </w:r>
      <w:r w:rsidR="00A34F6E">
        <w:t xml:space="preserve">validate that all the </w:t>
      </w:r>
      <w:r w:rsidR="00B6229B">
        <w:t>p</w:t>
      </w:r>
      <w:r w:rsidR="00A34F6E">
        <w:t xml:space="preserve">roducts on the </w:t>
      </w:r>
      <w:r w:rsidR="00B6229B">
        <w:t>o</w:t>
      </w:r>
      <w:r w:rsidR="00A34F6E">
        <w:t xml:space="preserve">rder were </w:t>
      </w:r>
      <w:r w:rsidR="00B6229B">
        <w:t xml:space="preserve">authorized by the clearing house </w:t>
      </w:r>
      <w:r w:rsidR="00A34F6E">
        <w:t>and indicate to the driver if the entire load can</w:t>
      </w:r>
      <w:r w:rsidR="00B6229B">
        <w:t xml:space="preserve"> or can</w:t>
      </w:r>
      <w:r w:rsidR="00A34F6E">
        <w:t>not be picked up for th</w:t>
      </w:r>
      <w:r w:rsidR="00B6229B">
        <w:t>is</w:t>
      </w:r>
      <w:r w:rsidR="00A34F6E">
        <w:t xml:space="preserve"> </w:t>
      </w:r>
      <w:r w:rsidR="00B6229B">
        <w:t>o</w:t>
      </w:r>
      <w:r w:rsidR="00A34F6E">
        <w:t xml:space="preserve">rder.  </w:t>
      </w:r>
      <w:r>
        <w:t>Alternatively</w:t>
      </w:r>
      <w:r w:rsidR="00A34F6E">
        <w:t xml:space="preserve">, </w:t>
      </w:r>
      <w:r>
        <w:t xml:space="preserve">the clearing house </w:t>
      </w:r>
      <w:r w:rsidR="00A34F6E">
        <w:t xml:space="preserve">may Deny the order if </w:t>
      </w:r>
      <w:r>
        <w:t xml:space="preserve">any or </w:t>
      </w:r>
      <w:r w:rsidR="00A34F6E">
        <w:t xml:space="preserve">all </w:t>
      </w:r>
      <w:r>
        <w:t xml:space="preserve">of </w:t>
      </w:r>
      <w:r w:rsidR="00A34F6E">
        <w:t xml:space="preserve">the products on the order are not available for </w:t>
      </w:r>
      <w:r>
        <w:t>loading</w:t>
      </w:r>
      <w:r w:rsidR="00A34F6E">
        <w:t>.  I</w:t>
      </w:r>
      <w:r>
        <w:t>n this situation,</w:t>
      </w:r>
      <w:r w:rsidR="00A34F6E">
        <w:t xml:space="preserve"> a </w:t>
      </w:r>
      <w:r>
        <w:t xml:space="preserve">Deny </w:t>
      </w:r>
      <w:r w:rsidR="00A34F6E">
        <w:t xml:space="preserve">error </w:t>
      </w:r>
      <w:r>
        <w:t xml:space="preserve">message </w:t>
      </w:r>
      <w:r w:rsidR="00A34F6E">
        <w:t xml:space="preserve">stating </w:t>
      </w:r>
      <w:r>
        <w:t xml:space="preserve">that </w:t>
      </w:r>
      <w:r w:rsidR="00A34F6E">
        <w:t>“</w:t>
      </w:r>
      <w:r>
        <w:t>A</w:t>
      </w:r>
      <w:r w:rsidR="00A34F6E">
        <w:t xml:space="preserve">ll products for specified order are not available” should be </w:t>
      </w:r>
      <w:r>
        <w:t>sent from the clearing house</w:t>
      </w:r>
      <w:r w:rsidR="00A34F6E">
        <w:t>.</w:t>
      </w:r>
    </w:p>
    <w:p w:rsidR="006C1EEE" w:rsidRDefault="006C1EEE" w:rsidP="0033522C">
      <w:pPr>
        <w:spacing w:before="120" w:after="120"/>
      </w:pPr>
      <w:r>
        <w:t>See Spread</w:t>
      </w:r>
      <w:r w:rsidR="00EE0D54">
        <w:t xml:space="preserve"> </w:t>
      </w:r>
      <w:r>
        <w:t>S</w:t>
      </w:r>
      <w:r w:rsidR="00EE0D54">
        <w:t>heet for XML Sample Files</w:t>
      </w:r>
    </w:p>
    <w:p w:rsidR="00C864BB" w:rsidRPr="00F82CAC" w:rsidRDefault="00C864BB" w:rsidP="00C864BB">
      <w:pPr>
        <w:pStyle w:val="Heading2"/>
        <w:rPr>
          <w:color w:val="auto"/>
        </w:rPr>
      </w:pPr>
      <w:bookmarkStart w:id="12" w:name="_Toc342333891"/>
      <w:proofErr w:type="spellStart"/>
      <w:r>
        <w:rPr>
          <w:color w:val="auto"/>
        </w:rPr>
        <w:t>AuthParties</w:t>
      </w:r>
      <w:proofErr w:type="spellEnd"/>
      <w:r>
        <w:rPr>
          <w:color w:val="auto"/>
        </w:rPr>
        <w:t xml:space="preserve"> structure</w:t>
      </w:r>
      <w:bookmarkEnd w:id="12"/>
    </w:p>
    <w:p w:rsidR="00C864BB" w:rsidRDefault="00C864BB" w:rsidP="00C864BB">
      <w:pPr>
        <w:spacing w:before="120" w:after="120"/>
      </w:pPr>
      <w:r>
        <w:t xml:space="preserve">When multiple parties are involved in the transaction, there are some conventions which should be followed in the population of the party data in the Right to </w:t>
      </w:r>
      <w:proofErr w:type="gramStart"/>
      <w:r>
        <w:t>Lift</w:t>
      </w:r>
      <w:proofErr w:type="gramEnd"/>
      <w:r>
        <w:t xml:space="preserve"> messages.</w:t>
      </w:r>
    </w:p>
    <w:p w:rsidR="00C864BB" w:rsidRDefault="00C864BB" w:rsidP="00C864BB">
      <w:pPr>
        <w:spacing w:before="120" w:after="120"/>
      </w:pPr>
      <w:r>
        <w:t xml:space="preserve">There are 3 </w:t>
      </w:r>
      <w:proofErr w:type="spellStart"/>
      <w:r>
        <w:t>AuthParties</w:t>
      </w:r>
      <w:proofErr w:type="spellEnd"/>
      <w:r>
        <w:t xml:space="preserve"> listed in the Authorization Request message:</w:t>
      </w:r>
    </w:p>
    <w:p w:rsidR="00C864BB" w:rsidRDefault="00C864BB" w:rsidP="00C864BB">
      <w:pPr>
        <w:pStyle w:val="ListParagraph"/>
        <w:numPr>
          <w:ilvl w:val="0"/>
          <w:numId w:val="53"/>
        </w:numPr>
        <w:spacing w:before="120" w:after="120"/>
      </w:pPr>
      <w:proofErr w:type="spellStart"/>
      <w:r>
        <w:t>SellerNum</w:t>
      </w:r>
      <w:proofErr w:type="spellEnd"/>
      <w:r>
        <w:t xml:space="preserve"> – the seller number is the PIDX seller number which represents the contract owner at the terminal.  This is the company which has the relationship with the customer purchasing the product.</w:t>
      </w:r>
    </w:p>
    <w:p w:rsidR="00C864BB" w:rsidRDefault="00C864BB" w:rsidP="00C864BB">
      <w:pPr>
        <w:pStyle w:val="ListParagraph"/>
        <w:spacing w:before="120" w:after="120"/>
      </w:pPr>
    </w:p>
    <w:p w:rsidR="00C864BB" w:rsidRDefault="00C864BB" w:rsidP="00C864BB">
      <w:pPr>
        <w:pStyle w:val="ListParagraph"/>
        <w:numPr>
          <w:ilvl w:val="0"/>
          <w:numId w:val="53"/>
        </w:numPr>
        <w:spacing w:before="120" w:after="120"/>
      </w:pPr>
      <w:proofErr w:type="spellStart"/>
      <w:r>
        <w:t>FinalShipper</w:t>
      </w:r>
      <w:proofErr w:type="spellEnd"/>
      <w:r>
        <w:t xml:space="preserve"> – the final shipper number is also a PIDX seller number which represents the final seller account in the clearing house which should be checked as part of the authorization request.</w:t>
      </w:r>
    </w:p>
    <w:p w:rsidR="00C864BB" w:rsidRDefault="00C864BB" w:rsidP="00C864BB">
      <w:pPr>
        <w:pStyle w:val="ListParagraph"/>
        <w:spacing w:before="120" w:after="120"/>
      </w:pPr>
    </w:p>
    <w:p w:rsidR="00C864BB" w:rsidRDefault="00C864BB" w:rsidP="00C864BB">
      <w:pPr>
        <w:pStyle w:val="ListParagraph"/>
        <w:numPr>
          <w:ilvl w:val="0"/>
          <w:numId w:val="53"/>
        </w:numPr>
        <w:spacing w:before="120" w:after="120"/>
      </w:pPr>
      <w:r>
        <w:t>Consignee – the consignee is the unique identifier of the customer which will typically be assigned by the seller and manually maintained in the TAS by the terminal owner.</w:t>
      </w:r>
    </w:p>
    <w:p w:rsidR="007E66BE" w:rsidRDefault="007E66BE" w:rsidP="007E66BE">
      <w:pPr>
        <w:pStyle w:val="ListParagraph"/>
      </w:pPr>
    </w:p>
    <w:p w:rsidR="00C864BB" w:rsidRDefault="00C864BB" w:rsidP="00C864BB">
      <w:pPr>
        <w:spacing w:before="120" w:after="120"/>
      </w:pPr>
      <w:r>
        <w:t xml:space="preserve">The </w:t>
      </w:r>
      <w:proofErr w:type="spellStart"/>
      <w:r>
        <w:t>SellerNum</w:t>
      </w:r>
      <w:proofErr w:type="spellEnd"/>
      <w:r>
        <w:t xml:space="preserve"> and </w:t>
      </w:r>
      <w:proofErr w:type="spellStart"/>
      <w:r>
        <w:t>FinalShipper</w:t>
      </w:r>
      <w:proofErr w:type="spellEnd"/>
      <w:r>
        <w:t xml:space="preserve"> fields are populated with different values depending on the supply relationship at the terminal and the architecture of each of the parties involved.</w:t>
      </w:r>
    </w:p>
    <w:p w:rsidR="00C864BB" w:rsidRDefault="00C864BB" w:rsidP="00C864BB">
      <w:pPr>
        <w:pStyle w:val="Heading3"/>
        <w:rPr>
          <w:color w:val="auto"/>
        </w:rPr>
      </w:pPr>
      <w:bookmarkStart w:id="13" w:name="_Toc342333892"/>
      <w:r w:rsidRPr="005D2EEB">
        <w:rPr>
          <w:color w:val="auto"/>
        </w:rPr>
        <w:t>One Party Example</w:t>
      </w:r>
      <w:bookmarkEnd w:id="13"/>
    </w:p>
    <w:p w:rsidR="00C864BB" w:rsidRPr="00CC0280" w:rsidRDefault="00C864BB" w:rsidP="00C864BB">
      <w:r>
        <w:t xml:space="preserve">In the one party example, there is only one party in the supply relationship which has a relationship with the clearing house.  So, the </w:t>
      </w:r>
      <w:proofErr w:type="spellStart"/>
      <w:r>
        <w:t>SellerNum</w:t>
      </w:r>
      <w:proofErr w:type="spellEnd"/>
      <w:r>
        <w:t xml:space="preserve"> </w:t>
      </w:r>
      <w:r w:rsidR="00A53C66">
        <w:t xml:space="preserve">field </w:t>
      </w:r>
      <w:r>
        <w:t xml:space="preserve">will be populated with the </w:t>
      </w:r>
      <w:r w:rsidR="00A53C66">
        <w:t xml:space="preserve">PIDX seller number and the </w:t>
      </w:r>
      <w:proofErr w:type="spellStart"/>
      <w:r w:rsidR="00A53C66">
        <w:t>FinalShipper</w:t>
      </w:r>
      <w:proofErr w:type="spellEnd"/>
      <w:r w:rsidR="00A53C66">
        <w:t xml:space="preserve"> </w:t>
      </w:r>
      <w:proofErr w:type="gramStart"/>
      <w:r w:rsidR="00A53C66">
        <w:t>field  can</w:t>
      </w:r>
      <w:proofErr w:type="gramEnd"/>
      <w:r w:rsidR="00A53C66">
        <w:t xml:space="preserve"> either have the seller number or be left blank.  If blank, the data clearinghouse will determine the </w:t>
      </w:r>
      <w:proofErr w:type="spellStart"/>
      <w:r w:rsidR="00A53C66">
        <w:t>FinalShipper</w:t>
      </w:r>
      <w:proofErr w:type="spellEnd"/>
      <w:r w:rsidR="00A53C66">
        <w:t>.</w:t>
      </w:r>
    </w:p>
    <w:p w:rsidR="00C864BB" w:rsidRPr="005D2EEB" w:rsidRDefault="00C864BB" w:rsidP="00C864BB">
      <w:pPr>
        <w:pStyle w:val="Heading3"/>
        <w:rPr>
          <w:color w:val="auto"/>
        </w:rPr>
      </w:pPr>
      <w:bookmarkStart w:id="14" w:name="_Toc342333893"/>
      <w:r w:rsidRPr="005D2EEB">
        <w:rPr>
          <w:color w:val="auto"/>
        </w:rPr>
        <w:t>Two Party Example</w:t>
      </w:r>
      <w:bookmarkEnd w:id="14"/>
    </w:p>
    <w:p w:rsidR="00C864BB" w:rsidRDefault="00C864BB" w:rsidP="00C864BB">
      <w:pPr>
        <w:spacing w:before="120" w:after="120"/>
      </w:pPr>
      <w:r>
        <w:t xml:space="preserve">In the two party </w:t>
      </w:r>
      <w:proofErr w:type="gramStart"/>
      <w:r>
        <w:t>example</w:t>
      </w:r>
      <w:proofErr w:type="gramEnd"/>
      <w:r>
        <w:t xml:space="preserve">, there are 2 parties in the supply relationship which have a relationship with the clearing house.  In this case, the PIDX seller number which represents the contract owner would be placed in the </w:t>
      </w:r>
      <w:proofErr w:type="spellStart"/>
      <w:r>
        <w:t>SellerNum</w:t>
      </w:r>
      <w:proofErr w:type="spellEnd"/>
      <w:r>
        <w:t xml:space="preserve"> field.  The other party (usually an exchange partner </w:t>
      </w:r>
      <w:r w:rsidR="00A53C66">
        <w:t xml:space="preserve">from </w:t>
      </w:r>
      <w:r>
        <w:t>which the contract owner is lifting</w:t>
      </w:r>
      <w:r w:rsidR="00A53C66">
        <w:t>)</w:t>
      </w:r>
      <w:r>
        <w:t xml:space="preserve"> shall have their PIDX seller number placed in the </w:t>
      </w:r>
      <w:proofErr w:type="spellStart"/>
      <w:r>
        <w:t>FinalShipper</w:t>
      </w:r>
      <w:proofErr w:type="spellEnd"/>
      <w:r>
        <w:t xml:space="preserve"> field.</w:t>
      </w:r>
    </w:p>
    <w:p w:rsidR="00C864BB" w:rsidRPr="00F82CAC" w:rsidRDefault="00C864BB" w:rsidP="00C864BB">
      <w:pPr>
        <w:pStyle w:val="Heading2"/>
        <w:rPr>
          <w:color w:val="auto"/>
        </w:rPr>
      </w:pPr>
      <w:bookmarkStart w:id="15" w:name="_Toc342333894"/>
      <w:r>
        <w:rPr>
          <w:color w:val="auto"/>
        </w:rPr>
        <w:t>Cancelled Loads – No Load BOLs</w:t>
      </w:r>
      <w:bookmarkEnd w:id="15"/>
    </w:p>
    <w:p w:rsidR="00C864BB" w:rsidRDefault="00C864BB" w:rsidP="00C864BB">
      <w:pPr>
        <w:spacing w:before="120" w:after="120"/>
      </w:pPr>
      <w:r>
        <w:t>In some cases when the clearing house is authorizing drivers, the products required by the driver to load are not available after authorization.  In these situations, the driver may abort or cancel the loading because he cannot load according to his plan.</w:t>
      </w:r>
    </w:p>
    <w:p w:rsidR="007B2413" w:rsidRDefault="00C864BB" w:rsidP="00C864BB">
      <w:pPr>
        <w:spacing w:before="120" w:after="120"/>
      </w:pPr>
      <w:r>
        <w:t xml:space="preserve">When the driver cancels or aborts a load after the clearing house </w:t>
      </w:r>
      <w:r w:rsidR="007B2413">
        <w:t xml:space="preserve">has </w:t>
      </w:r>
      <w:r>
        <w:t>sent an AUTH message to the terminal automation system, the TAS shall send a No Load BOL back to the clearing house.</w:t>
      </w:r>
      <w:r w:rsidR="007B2413">
        <w:t xml:space="preserve">  This process will allow the clearing house to ‘close out’ the authorization and reset any processing on their side which was dependent on receiving the actual BOL.  A No Load BOL is the standard BOL message wi</w:t>
      </w:r>
      <w:r w:rsidR="00A53C66">
        <w:t xml:space="preserve">th the </w:t>
      </w:r>
      <w:proofErr w:type="spellStart"/>
      <w:r w:rsidR="00A53C66">
        <w:t>AuthorizedLoad</w:t>
      </w:r>
      <w:proofErr w:type="spellEnd"/>
      <w:r w:rsidR="00A53C66">
        <w:t xml:space="preserve"> field set to “</w:t>
      </w:r>
      <w:proofErr w:type="spellStart"/>
      <w:r w:rsidR="00A53C66">
        <w:t>NoLoad</w:t>
      </w:r>
      <w:proofErr w:type="spellEnd"/>
      <w:r w:rsidR="00A53C66">
        <w:t xml:space="preserve">” and the </w:t>
      </w:r>
      <w:proofErr w:type="spellStart"/>
      <w:r w:rsidR="00A53C66">
        <w:t>AuthorizationNo</w:t>
      </w:r>
      <w:proofErr w:type="spellEnd"/>
      <w:r w:rsidR="00A53C66">
        <w:t xml:space="preserve"> field populated with the authorization number from the authorization response message.  The </w:t>
      </w:r>
      <w:proofErr w:type="spellStart"/>
      <w:r w:rsidR="00A53C66">
        <w:t>DocumentIdentifier</w:t>
      </w:r>
      <w:proofErr w:type="spellEnd"/>
      <w:r w:rsidR="00A53C66">
        <w:t xml:space="preserve"> in the </w:t>
      </w:r>
      <w:proofErr w:type="spellStart"/>
      <w:r w:rsidR="00A53C66">
        <w:t>PostingReference</w:t>
      </w:r>
      <w:proofErr w:type="spellEnd"/>
      <w:r w:rsidR="00A53C66">
        <w:t xml:space="preserve"> section would also be blank.</w:t>
      </w:r>
    </w:p>
    <w:p w:rsidR="00C864BB" w:rsidRDefault="00C864BB" w:rsidP="00C864BB">
      <w:pPr>
        <w:spacing w:before="120" w:after="120"/>
      </w:pPr>
      <w:r>
        <w:t>A No Load BOL is not required when a DENY message is sent to the terminal automation system as no loading can happen on a DENY message in the Authorization Response.</w:t>
      </w:r>
    </w:p>
    <w:p w:rsidR="00C864BB" w:rsidRPr="006C1EEE" w:rsidRDefault="00C864BB" w:rsidP="0033522C">
      <w:pPr>
        <w:spacing w:before="120" w:after="120"/>
      </w:pPr>
    </w:p>
    <w:sectPr w:rsidR="00C864BB" w:rsidRPr="006C1EEE" w:rsidSect="0033522C">
      <w:headerReference w:type="default"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BB" w:rsidRDefault="00C864BB">
      <w:pPr>
        <w:spacing w:before="0"/>
        <w:rPr>
          <w:rFonts w:ascii="Times New Roman" w:hAnsi="Times New Roman" w:cs="Times New Roman"/>
        </w:rPr>
      </w:pPr>
      <w:r>
        <w:rPr>
          <w:rFonts w:ascii="Times New Roman" w:hAnsi="Times New Roman" w:cs="Times New Roman"/>
        </w:rPr>
        <w:separator/>
      </w:r>
    </w:p>
  </w:endnote>
  <w:endnote w:type="continuationSeparator" w:id="0">
    <w:p w:rsidR="00C864BB" w:rsidRDefault="00C864BB">
      <w:pPr>
        <w:spacing w:before="0"/>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BB" w:rsidRDefault="00C864BB">
    <w:pPr>
      <w:pStyle w:val="Footer"/>
      <w:jc w:val="right"/>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BB" w:rsidRDefault="00C864BB">
    <w:pPr>
      <w:pStyle w:val="Footer"/>
      <w:jc w:val="right"/>
      <w:rPr>
        <w:color w:val="333333"/>
      </w:rPr>
    </w:pPr>
    <w:r>
      <w:rPr>
        <w:rStyle w:val="PageNumber"/>
        <w:rFonts w:ascii="Arial" w:hAnsi="Arial" w:cs="Arial"/>
        <w:color w:val="333333"/>
      </w:rPr>
      <w:fldChar w:fldCharType="begin"/>
    </w:r>
    <w:r>
      <w:rPr>
        <w:rStyle w:val="PageNumber"/>
        <w:rFonts w:ascii="Arial" w:hAnsi="Arial" w:cs="Arial"/>
        <w:color w:val="333333"/>
      </w:rPr>
      <w:instrText xml:space="preserve"> PAGE </w:instrText>
    </w:r>
    <w:r>
      <w:rPr>
        <w:rStyle w:val="PageNumber"/>
        <w:rFonts w:ascii="Arial" w:hAnsi="Arial" w:cs="Arial"/>
        <w:color w:val="333333"/>
      </w:rPr>
      <w:fldChar w:fldCharType="separate"/>
    </w:r>
    <w:r w:rsidR="007E66BE">
      <w:rPr>
        <w:rStyle w:val="PageNumber"/>
        <w:rFonts w:ascii="Arial" w:hAnsi="Arial" w:cs="Arial"/>
        <w:noProof/>
        <w:color w:val="333333"/>
      </w:rPr>
      <w:t>4</w:t>
    </w:r>
    <w:r>
      <w:rPr>
        <w:rStyle w:val="PageNumber"/>
        <w:rFonts w:ascii="Arial" w:hAnsi="Arial" w:cs="Arial"/>
        <w:color w:val="333333"/>
      </w:rPr>
      <w:fldChar w:fldCharType="end"/>
    </w:r>
    <w:r>
      <w:rPr>
        <w:rStyle w:val="PageNumber"/>
        <w:rFonts w:ascii="Arial" w:hAnsi="Arial" w:cs="Arial"/>
        <w:color w:val="333333"/>
      </w:rPr>
      <w:t xml:space="preserve"> of </w:t>
    </w:r>
    <w:r>
      <w:rPr>
        <w:rStyle w:val="PageNumber"/>
        <w:rFonts w:ascii="Arial" w:hAnsi="Arial" w:cs="Arial"/>
        <w:color w:val="333333"/>
      </w:rPr>
      <w:fldChar w:fldCharType="begin"/>
    </w:r>
    <w:r>
      <w:rPr>
        <w:rStyle w:val="PageNumber"/>
        <w:rFonts w:ascii="Arial" w:hAnsi="Arial" w:cs="Arial"/>
        <w:color w:val="333333"/>
      </w:rPr>
      <w:instrText xml:space="preserve"> NUMPAGES </w:instrText>
    </w:r>
    <w:r>
      <w:rPr>
        <w:rStyle w:val="PageNumber"/>
        <w:rFonts w:ascii="Arial" w:hAnsi="Arial" w:cs="Arial"/>
        <w:color w:val="333333"/>
      </w:rPr>
      <w:fldChar w:fldCharType="separate"/>
    </w:r>
    <w:r w:rsidR="007E66BE">
      <w:rPr>
        <w:rStyle w:val="PageNumber"/>
        <w:rFonts w:ascii="Arial" w:hAnsi="Arial" w:cs="Arial"/>
        <w:noProof/>
        <w:color w:val="333333"/>
      </w:rPr>
      <w:t>14</w:t>
    </w:r>
    <w:r>
      <w:rPr>
        <w:rStyle w:val="PageNumber"/>
        <w:rFonts w:ascii="Arial" w:hAnsi="Arial" w:cs="Arial"/>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BB" w:rsidRDefault="00C864BB">
      <w:pPr>
        <w:spacing w:before="0"/>
        <w:rPr>
          <w:rFonts w:ascii="Times New Roman" w:hAnsi="Times New Roman" w:cs="Times New Roman"/>
        </w:rPr>
      </w:pPr>
      <w:r>
        <w:rPr>
          <w:rFonts w:ascii="Times New Roman" w:hAnsi="Times New Roman" w:cs="Times New Roman"/>
        </w:rPr>
        <w:separator/>
      </w:r>
    </w:p>
  </w:footnote>
  <w:footnote w:type="continuationSeparator" w:id="0">
    <w:p w:rsidR="00C864BB" w:rsidRDefault="00C864BB">
      <w:pPr>
        <w:spacing w:before="0"/>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BB" w:rsidRDefault="00C864B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CBF"/>
    <w:multiLevelType w:val="hybridMultilevel"/>
    <w:tmpl w:val="BF325326"/>
    <w:lvl w:ilvl="0" w:tplc="04090011">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
    <w:nsid w:val="04363CC5"/>
    <w:multiLevelType w:val="hybridMultilevel"/>
    <w:tmpl w:val="1376D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BD2D34"/>
    <w:multiLevelType w:val="hybridMultilevel"/>
    <w:tmpl w:val="D810A014"/>
    <w:lvl w:ilvl="0" w:tplc="6C685EFA">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06CAC"/>
    <w:multiLevelType w:val="hybridMultilevel"/>
    <w:tmpl w:val="AB602264"/>
    <w:lvl w:ilvl="0" w:tplc="6C685EFA">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C14B52"/>
    <w:multiLevelType w:val="hybridMultilevel"/>
    <w:tmpl w:val="C8423D50"/>
    <w:lvl w:ilvl="0" w:tplc="8EBC5390">
      <w:start w:val="1"/>
      <w:numFmt w:val="bullet"/>
      <w:lvlText w:val=""/>
      <w:lvlJc w:val="left"/>
      <w:pPr>
        <w:tabs>
          <w:tab w:val="num" w:pos="720"/>
        </w:tabs>
        <w:ind w:left="720" w:hanging="360"/>
      </w:pPr>
      <w:rPr>
        <w:rFonts w:ascii="Wingdings" w:hAnsi="Wingdings" w:cs="Times New Roman" w:hint="default"/>
      </w:rPr>
    </w:lvl>
    <w:lvl w:ilvl="1" w:tplc="4E96628E">
      <w:numFmt w:val="bullet"/>
      <w:lvlText w:val=""/>
      <w:lvlJc w:val="left"/>
      <w:pPr>
        <w:tabs>
          <w:tab w:val="num" w:pos="1440"/>
        </w:tabs>
        <w:ind w:left="1440" w:hanging="360"/>
      </w:pPr>
      <w:rPr>
        <w:rFonts w:ascii="Wingdings" w:eastAsia="Times New Roman" w:hAnsi="Wingdings" w:hint="default"/>
        <w:sz w:val="20"/>
      </w:rPr>
    </w:lvl>
    <w:lvl w:ilvl="2" w:tplc="04090011">
      <w:start w:val="1"/>
      <w:numFmt w:val="decimal"/>
      <w:lvlText w:val="%3)"/>
      <w:lvlJc w:val="left"/>
      <w:pPr>
        <w:tabs>
          <w:tab w:val="num" w:pos="2340"/>
        </w:tabs>
        <w:ind w:left="234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6254FF1"/>
    <w:multiLevelType w:val="hybridMultilevel"/>
    <w:tmpl w:val="41105434"/>
    <w:lvl w:ilvl="0" w:tplc="EDD0FD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3E0696"/>
    <w:multiLevelType w:val="hybridMultilevel"/>
    <w:tmpl w:val="ABEE55D0"/>
    <w:lvl w:ilvl="0" w:tplc="CA4E8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A72DFD"/>
    <w:multiLevelType w:val="hybridMultilevel"/>
    <w:tmpl w:val="C5CA4822"/>
    <w:lvl w:ilvl="0" w:tplc="71265462">
      <w:start w:val="11"/>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Times New Roman" w:hint="default"/>
      </w:rPr>
    </w:lvl>
    <w:lvl w:ilvl="3" w:tplc="04090001">
      <w:start w:val="1"/>
      <w:numFmt w:val="bullet"/>
      <w:lvlText w:val=""/>
      <w:lvlJc w:val="left"/>
      <w:pPr>
        <w:tabs>
          <w:tab w:val="num" w:pos="2580"/>
        </w:tabs>
        <w:ind w:left="2580" w:hanging="360"/>
      </w:pPr>
      <w:rPr>
        <w:rFonts w:ascii="Symbol" w:hAnsi="Symbol"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Times New Roman" w:hint="default"/>
      </w:rPr>
    </w:lvl>
    <w:lvl w:ilvl="6" w:tplc="04090001">
      <w:start w:val="1"/>
      <w:numFmt w:val="bullet"/>
      <w:lvlText w:val=""/>
      <w:lvlJc w:val="left"/>
      <w:pPr>
        <w:tabs>
          <w:tab w:val="num" w:pos="4740"/>
        </w:tabs>
        <w:ind w:left="4740" w:hanging="360"/>
      </w:pPr>
      <w:rPr>
        <w:rFonts w:ascii="Symbol" w:hAnsi="Symbol"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Times New Roman" w:hint="default"/>
      </w:rPr>
    </w:lvl>
  </w:abstractNum>
  <w:abstractNum w:abstractNumId="8">
    <w:nsid w:val="18937372"/>
    <w:multiLevelType w:val="hybridMultilevel"/>
    <w:tmpl w:val="6F42A178"/>
    <w:lvl w:ilvl="0" w:tplc="6C685EFA">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FC14B3"/>
    <w:multiLevelType w:val="hybridMultilevel"/>
    <w:tmpl w:val="92E49C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92082"/>
    <w:multiLevelType w:val="hybridMultilevel"/>
    <w:tmpl w:val="AEFA3DAE"/>
    <w:lvl w:ilvl="0" w:tplc="9FB8D7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154D39"/>
    <w:multiLevelType w:val="hybridMultilevel"/>
    <w:tmpl w:val="94E8177E"/>
    <w:lvl w:ilvl="0" w:tplc="234C7B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4BEE"/>
    <w:multiLevelType w:val="hybridMultilevel"/>
    <w:tmpl w:val="51BCFA76"/>
    <w:lvl w:ilvl="0" w:tplc="697074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5315C7"/>
    <w:multiLevelType w:val="hybridMultilevel"/>
    <w:tmpl w:val="471C5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753B8D"/>
    <w:multiLevelType w:val="hybridMultilevel"/>
    <w:tmpl w:val="FDB0F3DC"/>
    <w:lvl w:ilvl="0" w:tplc="08090011">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5">
    <w:nsid w:val="2B2571B9"/>
    <w:multiLevelType w:val="hybridMultilevel"/>
    <w:tmpl w:val="10D28A6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358B5D69"/>
    <w:multiLevelType w:val="hybridMultilevel"/>
    <w:tmpl w:val="790C5E56"/>
    <w:lvl w:ilvl="0" w:tplc="04090011">
      <w:start w:val="1"/>
      <w:numFmt w:val="decimal"/>
      <w:lvlText w:val="%1)"/>
      <w:lvlJc w:val="left"/>
      <w:pPr>
        <w:tabs>
          <w:tab w:val="num" w:pos="360"/>
        </w:tabs>
        <w:ind w:left="360" w:hanging="360"/>
      </w:pPr>
      <w:rPr>
        <w:rFonts w:ascii="Times New Roman" w:hAnsi="Times New Roman" w:cs="Times New Roman" w:hint="default"/>
      </w:rPr>
    </w:lvl>
    <w:lvl w:ilvl="1" w:tplc="4E96628E">
      <w:numFmt w:val="bullet"/>
      <w:lvlText w:val=""/>
      <w:lvlJc w:val="left"/>
      <w:pPr>
        <w:tabs>
          <w:tab w:val="num" w:pos="1080"/>
        </w:tabs>
        <w:ind w:left="1080" w:hanging="360"/>
      </w:pPr>
      <w:rPr>
        <w:rFonts w:ascii="Wingdings" w:eastAsia="Times New Roman" w:hAnsi="Wingdings" w:hint="default"/>
        <w:sz w:val="20"/>
      </w:rPr>
    </w:lvl>
    <w:lvl w:ilvl="2" w:tplc="04090011">
      <w:start w:val="1"/>
      <w:numFmt w:val="decimal"/>
      <w:lvlText w:val="%3)"/>
      <w:lvlJc w:val="left"/>
      <w:pPr>
        <w:tabs>
          <w:tab w:val="num" w:pos="1980"/>
        </w:tabs>
        <w:ind w:left="1980" w:hanging="360"/>
      </w:pPr>
      <w:rPr>
        <w:rFonts w:ascii="Times New Roman" w:hAnsi="Times New Roman" w:cs="Times New Roman"/>
      </w:rPr>
    </w:lvl>
    <w:lvl w:ilvl="3" w:tplc="9632A6DE">
      <w:start w:val="1"/>
      <w:numFmt w:val="decimal"/>
      <w:lvlText w:val="%4."/>
      <w:lvlJc w:val="left"/>
      <w:pPr>
        <w:tabs>
          <w:tab w:val="num" w:pos="2520"/>
        </w:tabs>
        <w:ind w:left="2520" w:hanging="360"/>
      </w:pPr>
      <w:rPr>
        <w:rFonts w:ascii="Times New Roman" w:hAnsi="Times New Roman" w:cs="Times New Roman" w:hint="default"/>
      </w:rPr>
    </w:lvl>
    <w:lvl w:ilvl="4" w:tplc="E146001A">
      <w:start w:val="1"/>
      <w:numFmt w:val="lowerLetter"/>
      <w:lvlText w:val="%5)"/>
      <w:lvlJc w:val="left"/>
      <w:pPr>
        <w:tabs>
          <w:tab w:val="num" w:pos="3240"/>
        </w:tabs>
        <w:ind w:left="3240" w:hanging="360"/>
      </w:pPr>
      <w:rPr>
        <w:rFonts w:ascii="Arial" w:hAnsi="Arial" w:cs="Times New Roman" w:hint="default"/>
        <w:b w:val="0"/>
        <w:i w:val="0"/>
        <w:sz w:val="22"/>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7">
    <w:nsid w:val="38636DDC"/>
    <w:multiLevelType w:val="hybridMultilevel"/>
    <w:tmpl w:val="9B78CEA8"/>
    <w:lvl w:ilvl="0" w:tplc="3D1A9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E9754E"/>
    <w:multiLevelType w:val="hybridMultilevel"/>
    <w:tmpl w:val="C8423D50"/>
    <w:lvl w:ilvl="0" w:tplc="1EE6BFE6">
      <w:start w:val="1"/>
      <w:numFmt w:val="bullet"/>
      <w:lvlText w:val=""/>
      <w:lvlJc w:val="left"/>
      <w:pPr>
        <w:tabs>
          <w:tab w:val="num" w:pos="720"/>
        </w:tabs>
        <w:ind w:left="567" w:hanging="207"/>
      </w:pPr>
      <w:rPr>
        <w:rFonts w:ascii="Wingdings" w:hAnsi="Wingdings" w:cs="Times New Roman" w:hint="default"/>
      </w:rPr>
    </w:lvl>
    <w:lvl w:ilvl="1" w:tplc="4E96628E">
      <w:numFmt w:val="bullet"/>
      <w:lvlText w:val=""/>
      <w:lvlJc w:val="left"/>
      <w:pPr>
        <w:tabs>
          <w:tab w:val="num" w:pos="1440"/>
        </w:tabs>
        <w:ind w:left="1440" w:hanging="360"/>
      </w:pPr>
      <w:rPr>
        <w:rFonts w:ascii="Wingdings" w:eastAsia="Times New Roman" w:hAnsi="Wingdings" w:hint="default"/>
        <w:sz w:val="20"/>
      </w:rPr>
    </w:lvl>
    <w:lvl w:ilvl="2" w:tplc="04090011">
      <w:start w:val="1"/>
      <w:numFmt w:val="decimal"/>
      <w:lvlText w:val="%3)"/>
      <w:lvlJc w:val="left"/>
      <w:pPr>
        <w:tabs>
          <w:tab w:val="num" w:pos="2340"/>
        </w:tabs>
        <w:ind w:left="234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B6F4476"/>
    <w:multiLevelType w:val="multilevel"/>
    <w:tmpl w:val="B3B834F4"/>
    <w:lvl w:ilvl="0">
      <w:start w:val="1"/>
      <w:numFmt w:val="decimal"/>
      <w:pStyle w:val="Heading1"/>
      <w:lvlText w:val="%1"/>
      <w:lvlJc w:val="left"/>
      <w:pPr>
        <w:tabs>
          <w:tab w:val="num" w:pos="432"/>
        </w:tabs>
        <w:ind w:left="432" w:hanging="432"/>
      </w:pPr>
      <w:rPr>
        <w:rFonts w:ascii="Arial Bold" w:hAnsi="Arial Bold" w:hint="default"/>
        <w:b/>
        <w:i w:val="0"/>
        <w:sz w:val="28"/>
      </w:rPr>
    </w:lvl>
    <w:lvl w:ilvl="1">
      <w:start w:val="1"/>
      <w:numFmt w:val="decimal"/>
      <w:pStyle w:val="Heading2"/>
      <w:lvlText w:val="%1.%2"/>
      <w:lvlJc w:val="left"/>
      <w:pPr>
        <w:tabs>
          <w:tab w:val="num" w:pos="576"/>
        </w:tabs>
        <w:ind w:left="576" w:hanging="576"/>
      </w:pPr>
      <w:rPr>
        <w:rFonts w:hint="default"/>
        <w:color w:val="auto"/>
      </w:rPr>
    </w:lvl>
    <w:lvl w:ilvl="2">
      <w:start w:val="1"/>
      <w:numFmt w:val="decimal"/>
      <w:pStyle w:val="Heading3"/>
      <w:lvlText w:val="%1.%2.%3"/>
      <w:lvlJc w:val="left"/>
      <w:pPr>
        <w:tabs>
          <w:tab w:val="num" w:pos="720"/>
        </w:tabs>
        <w:ind w:left="720" w:hanging="720"/>
      </w:pPr>
      <w:rPr>
        <w:rFonts w:hint="default"/>
        <w:color w:val="auto"/>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41CD1BC0"/>
    <w:multiLevelType w:val="hybridMultilevel"/>
    <w:tmpl w:val="C8423D50"/>
    <w:lvl w:ilvl="0" w:tplc="09B0FA42">
      <w:start w:val="1"/>
      <w:numFmt w:val="bullet"/>
      <w:lvlText w:val=""/>
      <w:lvlJc w:val="left"/>
      <w:pPr>
        <w:tabs>
          <w:tab w:val="num" w:pos="720"/>
        </w:tabs>
        <w:ind w:left="340" w:firstLine="20"/>
      </w:pPr>
      <w:rPr>
        <w:rFonts w:ascii="Wingdings" w:hAnsi="Wingdings" w:cs="Times New Roman" w:hint="default"/>
      </w:rPr>
    </w:lvl>
    <w:lvl w:ilvl="1" w:tplc="4E96628E">
      <w:numFmt w:val="bullet"/>
      <w:lvlText w:val=""/>
      <w:lvlJc w:val="left"/>
      <w:pPr>
        <w:tabs>
          <w:tab w:val="num" w:pos="1440"/>
        </w:tabs>
        <w:ind w:left="1440" w:hanging="360"/>
      </w:pPr>
      <w:rPr>
        <w:rFonts w:ascii="Wingdings" w:eastAsia="Times New Roman" w:hAnsi="Wingdings" w:hint="default"/>
        <w:sz w:val="20"/>
      </w:rPr>
    </w:lvl>
    <w:lvl w:ilvl="2" w:tplc="04090011">
      <w:start w:val="1"/>
      <w:numFmt w:val="decimal"/>
      <w:lvlText w:val="%3)"/>
      <w:lvlJc w:val="left"/>
      <w:pPr>
        <w:tabs>
          <w:tab w:val="num" w:pos="2340"/>
        </w:tabs>
        <w:ind w:left="234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459B1EFA"/>
    <w:multiLevelType w:val="hybridMultilevel"/>
    <w:tmpl w:val="465C9AA6"/>
    <w:lvl w:ilvl="0" w:tplc="234C7B22">
      <w:start w:val="1"/>
      <w:numFmt w:val="bullet"/>
      <w:lvlText w:val="-"/>
      <w:lvlJc w:val="left"/>
      <w:pPr>
        <w:ind w:left="1267" w:hanging="360"/>
      </w:pPr>
      <w:rPr>
        <w:rFonts w:ascii="Courier New" w:hAnsi="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nsid w:val="47E84CC8"/>
    <w:multiLevelType w:val="hybridMultilevel"/>
    <w:tmpl w:val="A5809776"/>
    <w:lvl w:ilvl="0" w:tplc="8EBC5390">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7F25D81"/>
    <w:multiLevelType w:val="hybridMultilevel"/>
    <w:tmpl w:val="E114419A"/>
    <w:lvl w:ilvl="0" w:tplc="BC3E09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9103B8C"/>
    <w:multiLevelType w:val="hybridMultilevel"/>
    <w:tmpl w:val="F02A1A12"/>
    <w:lvl w:ilvl="0" w:tplc="E8E4FECC">
      <w:start w:val="1"/>
      <w:numFmt w:val="decimal"/>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F57426"/>
    <w:multiLevelType w:val="hybridMultilevel"/>
    <w:tmpl w:val="C8423D50"/>
    <w:lvl w:ilvl="0" w:tplc="4E96628E">
      <w:numFmt w:val="bullet"/>
      <w:lvlText w:val=""/>
      <w:lvlJc w:val="left"/>
      <w:pPr>
        <w:tabs>
          <w:tab w:val="num" w:pos="720"/>
        </w:tabs>
        <w:ind w:left="720" w:hanging="360"/>
      </w:pPr>
      <w:rPr>
        <w:rFonts w:ascii="Wingdings" w:eastAsia="Times New Roman" w:hAnsi="Wingdings" w:hint="default"/>
        <w:sz w:val="20"/>
      </w:rPr>
    </w:lvl>
    <w:lvl w:ilvl="1" w:tplc="4E96628E">
      <w:numFmt w:val="bullet"/>
      <w:lvlText w:val=""/>
      <w:lvlJc w:val="left"/>
      <w:pPr>
        <w:tabs>
          <w:tab w:val="num" w:pos="1440"/>
        </w:tabs>
        <w:ind w:left="1440" w:hanging="360"/>
      </w:pPr>
      <w:rPr>
        <w:rFonts w:ascii="Wingdings" w:eastAsia="Times New Roman" w:hAnsi="Wingdings" w:hint="default"/>
        <w:sz w:val="20"/>
      </w:rPr>
    </w:lvl>
    <w:lvl w:ilvl="2" w:tplc="04090011">
      <w:start w:val="1"/>
      <w:numFmt w:val="decimal"/>
      <w:lvlText w:val="%3)"/>
      <w:lvlJc w:val="left"/>
      <w:pPr>
        <w:tabs>
          <w:tab w:val="num" w:pos="2340"/>
        </w:tabs>
        <w:ind w:left="234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AC9422E"/>
    <w:multiLevelType w:val="hybridMultilevel"/>
    <w:tmpl w:val="C8423D50"/>
    <w:lvl w:ilvl="0" w:tplc="04090005">
      <w:start w:val="1"/>
      <w:numFmt w:val="bullet"/>
      <w:lvlText w:val=""/>
      <w:lvlJc w:val="left"/>
      <w:pPr>
        <w:tabs>
          <w:tab w:val="num" w:pos="720"/>
        </w:tabs>
        <w:ind w:left="720" w:hanging="360"/>
      </w:pPr>
      <w:rPr>
        <w:rFonts w:ascii="Wingdings" w:hAnsi="Wingdings" w:cs="Times New Roman" w:hint="default"/>
      </w:rPr>
    </w:lvl>
    <w:lvl w:ilvl="1" w:tplc="4E96628E">
      <w:numFmt w:val="bullet"/>
      <w:lvlText w:val=""/>
      <w:lvlJc w:val="left"/>
      <w:pPr>
        <w:tabs>
          <w:tab w:val="num" w:pos="1440"/>
        </w:tabs>
        <w:ind w:left="1440" w:hanging="360"/>
      </w:pPr>
      <w:rPr>
        <w:rFonts w:ascii="Wingdings" w:eastAsia="Times New Roman" w:hAnsi="Wingdings" w:hint="default"/>
        <w:sz w:val="20"/>
      </w:rPr>
    </w:lvl>
    <w:lvl w:ilvl="2" w:tplc="04090011">
      <w:start w:val="1"/>
      <w:numFmt w:val="decimal"/>
      <w:lvlText w:val="%3)"/>
      <w:lvlJc w:val="left"/>
      <w:pPr>
        <w:tabs>
          <w:tab w:val="num" w:pos="2340"/>
        </w:tabs>
        <w:ind w:left="2340" w:hanging="36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4C44195E"/>
    <w:multiLevelType w:val="hybridMultilevel"/>
    <w:tmpl w:val="083AE58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4D7CE0"/>
    <w:multiLevelType w:val="hybridMultilevel"/>
    <w:tmpl w:val="F334D650"/>
    <w:lvl w:ilvl="0" w:tplc="0409000F">
      <w:start w:val="1"/>
      <w:numFmt w:val="decimal"/>
      <w:lvlText w:val="%1."/>
      <w:lvlJc w:val="left"/>
      <w:pPr>
        <w:tabs>
          <w:tab w:val="num" w:pos="360"/>
        </w:tabs>
        <w:ind w:left="360" w:hanging="360"/>
      </w:pPr>
      <w:rPr>
        <w:rFonts w:ascii="Times New Roman" w:hAnsi="Times New Roman" w:cs="Times New Roman"/>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9">
    <w:nsid w:val="4F7A34E0"/>
    <w:multiLevelType w:val="hybridMultilevel"/>
    <w:tmpl w:val="669CD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3522F6"/>
    <w:multiLevelType w:val="hybridMultilevel"/>
    <w:tmpl w:val="2002479E"/>
    <w:lvl w:ilvl="0" w:tplc="E990F19C">
      <w:start w:val="1"/>
      <w:numFmt w:val="decimal"/>
      <w:lvlText w:val="%1)"/>
      <w:lvlJc w:val="left"/>
      <w:pPr>
        <w:tabs>
          <w:tab w:val="num" w:pos="360"/>
        </w:tabs>
        <w:ind w:left="360" w:hanging="360"/>
      </w:pPr>
      <w:rPr>
        <w:rFonts w:ascii="Arial" w:hAnsi="Arial" w:hint="default"/>
        <w:b w:val="0"/>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53775D7"/>
    <w:multiLevelType w:val="hybridMultilevel"/>
    <w:tmpl w:val="1578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79710DB"/>
    <w:multiLevelType w:val="hybridMultilevel"/>
    <w:tmpl w:val="4CD4B950"/>
    <w:lvl w:ilvl="0" w:tplc="31B080B8">
      <w:start w:val="1"/>
      <w:numFmt w:val="decimal"/>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80637AA"/>
    <w:multiLevelType w:val="hybridMultilevel"/>
    <w:tmpl w:val="B44C45DC"/>
    <w:lvl w:ilvl="0" w:tplc="6EF886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BA7ED2"/>
    <w:multiLevelType w:val="hybridMultilevel"/>
    <w:tmpl w:val="E140E7C2"/>
    <w:lvl w:ilvl="0" w:tplc="8EBC5390">
      <w:start w:val="1"/>
      <w:numFmt w:val="bullet"/>
      <w:lvlText w:val=""/>
      <w:lvlJc w:val="left"/>
      <w:pPr>
        <w:tabs>
          <w:tab w:val="num" w:pos="360"/>
        </w:tabs>
        <w:ind w:left="360" w:hanging="360"/>
      </w:pPr>
      <w:rPr>
        <w:rFonts w:ascii="Wingdings" w:hAnsi="Wingdings" w:cs="Times New Roman" w:hint="default"/>
      </w:rPr>
    </w:lvl>
    <w:lvl w:ilvl="1" w:tplc="4E96628E">
      <w:numFmt w:val="bullet"/>
      <w:lvlText w:val=""/>
      <w:lvlJc w:val="left"/>
      <w:pPr>
        <w:tabs>
          <w:tab w:val="num" w:pos="720"/>
        </w:tabs>
        <w:ind w:left="720" w:hanging="360"/>
      </w:pPr>
      <w:rPr>
        <w:rFonts w:ascii="Wingdings" w:eastAsia="Times New Roman" w:hAnsi="Wingdings" w:hint="default"/>
        <w:sz w:val="20"/>
      </w:rPr>
    </w:lvl>
    <w:lvl w:ilvl="2" w:tplc="04090011">
      <w:start w:val="1"/>
      <w:numFmt w:val="decimal"/>
      <w:lvlText w:val="%3)"/>
      <w:lvlJc w:val="left"/>
      <w:pPr>
        <w:tabs>
          <w:tab w:val="num" w:pos="1620"/>
        </w:tabs>
        <w:ind w:left="1620" w:hanging="360"/>
      </w:pPr>
      <w:rPr>
        <w:rFonts w:ascii="Times New Roman" w:hAnsi="Times New Roman" w:cs="Times New Roman"/>
      </w:rPr>
    </w:lvl>
    <w:lvl w:ilvl="3" w:tplc="9632A6DE">
      <w:start w:val="1"/>
      <w:numFmt w:val="decimal"/>
      <w:lvlText w:val="%4."/>
      <w:lvlJc w:val="left"/>
      <w:pPr>
        <w:tabs>
          <w:tab w:val="num" w:pos="2160"/>
        </w:tabs>
        <w:ind w:left="2160" w:hanging="360"/>
      </w:pPr>
      <w:rPr>
        <w:rFonts w:ascii="Times New Roman" w:hAnsi="Times New Roman" w:cs="Times New Roman" w:hint="default"/>
      </w:rPr>
    </w:lvl>
    <w:lvl w:ilvl="4" w:tplc="04090019">
      <w:start w:val="1"/>
      <w:numFmt w:val="lowerLetter"/>
      <w:lvlText w:val="%5."/>
      <w:lvlJc w:val="left"/>
      <w:pPr>
        <w:tabs>
          <w:tab w:val="num" w:pos="2880"/>
        </w:tabs>
        <w:ind w:left="2880" w:hanging="360"/>
      </w:pPr>
      <w:rPr>
        <w:rFonts w:ascii="Times New Roman" w:hAnsi="Times New Roman" w:cs="Times New Roman"/>
      </w:rPr>
    </w:lvl>
    <w:lvl w:ilvl="5" w:tplc="0409001B">
      <w:start w:val="1"/>
      <w:numFmt w:val="lowerRoman"/>
      <w:lvlText w:val="%6."/>
      <w:lvlJc w:val="right"/>
      <w:pPr>
        <w:tabs>
          <w:tab w:val="num" w:pos="3600"/>
        </w:tabs>
        <w:ind w:left="3600" w:hanging="180"/>
      </w:pPr>
      <w:rPr>
        <w:rFonts w:ascii="Times New Roman" w:hAnsi="Times New Roman" w:cs="Times New Roman"/>
      </w:rPr>
    </w:lvl>
    <w:lvl w:ilvl="6" w:tplc="0409000F">
      <w:start w:val="1"/>
      <w:numFmt w:val="decimal"/>
      <w:lvlText w:val="%7."/>
      <w:lvlJc w:val="left"/>
      <w:pPr>
        <w:tabs>
          <w:tab w:val="num" w:pos="4320"/>
        </w:tabs>
        <w:ind w:left="4320" w:hanging="360"/>
      </w:pPr>
      <w:rPr>
        <w:rFonts w:ascii="Times New Roman" w:hAnsi="Times New Roman" w:cs="Times New Roman"/>
      </w:rPr>
    </w:lvl>
    <w:lvl w:ilvl="7" w:tplc="04090019">
      <w:start w:val="1"/>
      <w:numFmt w:val="lowerLetter"/>
      <w:lvlText w:val="%8."/>
      <w:lvlJc w:val="left"/>
      <w:pPr>
        <w:tabs>
          <w:tab w:val="num" w:pos="5040"/>
        </w:tabs>
        <w:ind w:left="5040" w:hanging="360"/>
      </w:pPr>
      <w:rPr>
        <w:rFonts w:ascii="Times New Roman" w:hAnsi="Times New Roman" w:cs="Times New Roman"/>
      </w:rPr>
    </w:lvl>
    <w:lvl w:ilvl="8" w:tplc="0409001B">
      <w:start w:val="1"/>
      <w:numFmt w:val="lowerRoman"/>
      <w:lvlText w:val="%9."/>
      <w:lvlJc w:val="right"/>
      <w:pPr>
        <w:tabs>
          <w:tab w:val="num" w:pos="5760"/>
        </w:tabs>
        <w:ind w:left="5760" w:hanging="180"/>
      </w:pPr>
      <w:rPr>
        <w:rFonts w:ascii="Times New Roman" w:hAnsi="Times New Roman" w:cs="Times New Roman"/>
      </w:rPr>
    </w:lvl>
  </w:abstractNum>
  <w:abstractNum w:abstractNumId="35">
    <w:nsid w:val="5B9A77A7"/>
    <w:multiLevelType w:val="hybridMultilevel"/>
    <w:tmpl w:val="E7AE7E5E"/>
    <w:lvl w:ilvl="0" w:tplc="04090011">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6">
    <w:nsid w:val="5C9B6676"/>
    <w:multiLevelType w:val="hybridMultilevel"/>
    <w:tmpl w:val="40488CBA"/>
    <w:lvl w:ilvl="0" w:tplc="8722A172">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Times New Roman" w:hint="default"/>
      </w:rPr>
    </w:lvl>
    <w:lvl w:ilvl="3" w:tplc="04090001">
      <w:start w:val="1"/>
      <w:numFmt w:val="bullet"/>
      <w:lvlText w:val=""/>
      <w:lvlJc w:val="left"/>
      <w:pPr>
        <w:tabs>
          <w:tab w:val="num" w:pos="2580"/>
        </w:tabs>
        <w:ind w:left="2580" w:hanging="360"/>
      </w:pPr>
      <w:rPr>
        <w:rFonts w:ascii="Symbol" w:hAnsi="Symbol" w:cs="Times New Roman"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Times New Roman" w:hint="default"/>
      </w:rPr>
    </w:lvl>
    <w:lvl w:ilvl="6" w:tplc="04090001">
      <w:start w:val="1"/>
      <w:numFmt w:val="bullet"/>
      <w:lvlText w:val=""/>
      <w:lvlJc w:val="left"/>
      <w:pPr>
        <w:tabs>
          <w:tab w:val="num" w:pos="4740"/>
        </w:tabs>
        <w:ind w:left="4740" w:hanging="360"/>
      </w:pPr>
      <w:rPr>
        <w:rFonts w:ascii="Symbol" w:hAnsi="Symbol" w:cs="Times New Roman"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Times New Roman" w:hint="default"/>
      </w:rPr>
    </w:lvl>
  </w:abstractNum>
  <w:abstractNum w:abstractNumId="37">
    <w:nsid w:val="633952A0"/>
    <w:multiLevelType w:val="hybridMultilevel"/>
    <w:tmpl w:val="DEA26D40"/>
    <w:lvl w:ilvl="0" w:tplc="B91616A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B54882"/>
    <w:multiLevelType w:val="hybridMultilevel"/>
    <w:tmpl w:val="DCBC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D86908"/>
    <w:multiLevelType w:val="hybridMultilevel"/>
    <w:tmpl w:val="5346375C"/>
    <w:lvl w:ilvl="0" w:tplc="234C7B2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BE6DDE"/>
    <w:multiLevelType w:val="hybridMultilevel"/>
    <w:tmpl w:val="C4A6D0A2"/>
    <w:lvl w:ilvl="0" w:tplc="04090017">
      <w:start w:val="1"/>
      <w:numFmt w:val="lowerLetter"/>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41">
    <w:nsid w:val="6ADE159B"/>
    <w:multiLevelType w:val="hybridMultilevel"/>
    <w:tmpl w:val="8C9A6E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07285C"/>
    <w:multiLevelType w:val="hybridMultilevel"/>
    <w:tmpl w:val="1C5C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6B4844"/>
    <w:multiLevelType w:val="hybridMultilevel"/>
    <w:tmpl w:val="33C09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8B4433"/>
    <w:multiLevelType w:val="hybridMultilevel"/>
    <w:tmpl w:val="4C2A52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5">
    <w:nsid w:val="7B170358"/>
    <w:multiLevelType w:val="hybridMultilevel"/>
    <w:tmpl w:val="E59C12AA"/>
    <w:lvl w:ilvl="0" w:tplc="86724FC6">
      <w:start w:val="1"/>
      <w:numFmt w:val="bullet"/>
      <w:lvlText w:val="•"/>
      <w:lvlJc w:val="left"/>
      <w:pPr>
        <w:tabs>
          <w:tab w:val="num" w:pos="720"/>
        </w:tabs>
        <w:ind w:left="720" w:hanging="360"/>
      </w:pPr>
      <w:rPr>
        <w:rFonts w:ascii="Times New Roman" w:hAnsi="Times New Roman" w:cs="Times New Roman" w:hint="default"/>
      </w:rPr>
    </w:lvl>
    <w:lvl w:ilvl="1" w:tplc="F42C0290">
      <w:start w:val="1277"/>
      <w:numFmt w:val="bullet"/>
      <w:lvlText w:val="–"/>
      <w:lvlJc w:val="left"/>
      <w:pPr>
        <w:tabs>
          <w:tab w:val="num" w:pos="1440"/>
        </w:tabs>
        <w:ind w:left="1440" w:hanging="360"/>
      </w:pPr>
      <w:rPr>
        <w:rFonts w:ascii="Times New Roman" w:hAnsi="Times New Roman" w:cs="Times New Roman" w:hint="default"/>
      </w:rPr>
    </w:lvl>
    <w:lvl w:ilvl="2" w:tplc="A64E7906">
      <w:start w:val="1"/>
      <w:numFmt w:val="decimal"/>
      <w:lvlText w:val="%3."/>
      <w:lvlJc w:val="left"/>
      <w:pPr>
        <w:tabs>
          <w:tab w:val="num" w:pos="2160"/>
        </w:tabs>
        <w:ind w:left="2160" w:hanging="360"/>
      </w:pPr>
    </w:lvl>
    <w:lvl w:ilvl="3" w:tplc="47282A6C">
      <w:start w:val="1"/>
      <w:numFmt w:val="decimal"/>
      <w:lvlText w:val="%4."/>
      <w:lvlJc w:val="left"/>
      <w:pPr>
        <w:tabs>
          <w:tab w:val="num" w:pos="2880"/>
        </w:tabs>
        <w:ind w:left="2880" w:hanging="360"/>
      </w:pPr>
    </w:lvl>
    <w:lvl w:ilvl="4" w:tplc="E59662F0">
      <w:start w:val="1"/>
      <w:numFmt w:val="decimal"/>
      <w:lvlText w:val="%5."/>
      <w:lvlJc w:val="left"/>
      <w:pPr>
        <w:tabs>
          <w:tab w:val="num" w:pos="3600"/>
        </w:tabs>
        <w:ind w:left="3600" w:hanging="360"/>
      </w:pPr>
    </w:lvl>
    <w:lvl w:ilvl="5" w:tplc="2EAA75E8">
      <w:start w:val="1"/>
      <w:numFmt w:val="decimal"/>
      <w:lvlText w:val="%6."/>
      <w:lvlJc w:val="left"/>
      <w:pPr>
        <w:tabs>
          <w:tab w:val="num" w:pos="4320"/>
        </w:tabs>
        <w:ind w:left="4320" w:hanging="360"/>
      </w:pPr>
    </w:lvl>
    <w:lvl w:ilvl="6" w:tplc="BF06F406">
      <w:start w:val="1"/>
      <w:numFmt w:val="decimal"/>
      <w:lvlText w:val="%7."/>
      <w:lvlJc w:val="left"/>
      <w:pPr>
        <w:tabs>
          <w:tab w:val="num" w:pos="5040"/>
        </w:tabs>
        <w:ind w:left="5040" w:hanging="360"/>
      </w:pPr>
    </w:lvl>
    <w:lvl w:ilvl="7" w:tplc="124E9E0E">
      <w:start w:val="1"/>
      <w:numFmt w:val="decimal"/>
      <w:lvlText w:val="%8."/>
      <w:lvlJc w:val="left"/>
      <w:pPr>
        <w:tabs>
          <w:tab w:val="num" w:pos="5760"/>
        </w:tabs>
        <w:ind w:left="5760" w:hanging="360"/>
      </w:pPr>
    </w:lvl>
    <w:lvl w:ilvl="8" w:tplc="F7528A8E">
      <w:start w:val="1"/>
      <w:numFmt w:val="decimal"/>
      <w:lvlText w:val="%9."/>
      <w:lvlJc w:val="left"/>
      <w:pPr>
        <w:tabs>
          <w:tab w:val="num" w:pos="6480"/>
        </w:tabs>
        <w:ind w:left="6480" w:hanging="360"/>
      </w:pPr>
    </w:lvl>
  </w:abstractNum>
  <w:abstractNum w:abstractNumId="46">
    <w:nsid w:val="7B2E706B"/>
    <w:multiLevelType w:val="hybridMultilevel"/>
    <w:tmpl w:val="3334E3F6"/>
    <w:lvl w:ilvl="0" w:tplc="9FB8D7E6">
      <w:start w:val="1"/>
      <w:numFmt w:val="decimal"/>
      <w:lvlText w:val="%1)"/>
      <w:lvlJc w:val="left"/>
      <w:pPr>
        <w:tabs>
          <w:tab w:val="num" w:pos="360"/>
        </w:tabs>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12216B"/>
    <w:multiLevelType w:val="hybridMultilevel"/>
    <w:tmpl w:val="4C2A52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8">
    <w:nsid w:val="7CBC1B85"/>
    <w:multiLevelType w:val="hybridMultilevel"/>
    <w:tmpl w:val="4C2A5202"/>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9">
    <w:nsid w:val="7F6A606E"/>
    <w:multiLevelType w:val="hybridMultilevel"/>
    <w:tmpl w:val="6C521D84"/>
    <w:lvl w:ilvl="0" w:tplc="234C7B22">
      <w:start w:val="1"/>
      <w:numFmt w:val="bullet"/>
      <w:lvlText w:val="-"/>
      <w:lvlJc w:val="left"/>
      <w:pPr>
        <w:ind w:left="1267" w:hanging="360"/>
      </w:pPr>
      <w:rPr>
        <w:rFonts w:ascii="Courier New" w:hAnsi="Courier New"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9"/>
  </w:num>
  <w:num w:numId="2">
    <w:abstractNumId w:val="36"/>
  </w:num>
  <w:num w:numId="3">
    <w:abstractNumId w:val="7"/>
  </w:num>
  <w:num w:numId="4">
    <w:abstractNumId w:val="40"/>
  </w:num>
  <w:num w:numId="5">
    <w:abstractNumId w:val="16"/>
  </w:num>
  <w:num w:numId="6">
    <w:abstractNumId w:val="25"/>
  </w:num>
  <w:num w:numId="7">
    <w:abstractNumId w:val="15"/>
  </w:num>
  <w:num w:numId="8">
    <w:abstractNumId w:val="0"/>
  </w:num>
  <w:num w:numId="9">
    <w:abstractNumId w:val="28"/>
  </w:num>
  <w:num w:numId="10">
    <w:abstractNumId w:val="26"/>
  </w:num>
  <w:num w:numId="11">
    <w:abstractNumId w:val="18"/>
  </w:num>
  <w:num w:numId="12">
    <w:abstractNumId w:val="20"/>
  </w:num>
  <w:num w:numId="13">
    <w:abstractNumId w:val="4"/>
  </w:num>
  <w:num w:numId="14">
    <w:abstractNumId w:val="34"/>
  </w:num>
  <w:num w:numId="15">
    <w:abstractNumId w:val="35"/>
  </w:num>
  <w:num w:numId="16">
    <w:abstractNumId w:val="14"/>
  </w:num>
  <w:num w:numId="17">
    <w:abstractNumId w:val="3"/>
  </w:num>
  <w:num w:numId="18">
    <w:abstractNumId w:val="30"/>
  </w:num>
  <w:num w:numId="19">
    <w:abstractNumId w:val="23"/>
  </w:num>
  <w:num w:numId="20">
    <w:abstractNumId w:val="8"/>
  </w:num>
  <w:num w:numId="21">
    <w:abstractNumId w:val="2"/>
  </w:num>
  <w:num w:numId="22">
    <w:abstractNumId w:val="32"/>
  </w:num>
  <w:num w:numId="23">
    <w:abstractNumId w:val="43"/>
  </w:num>
  <w:num w:numId="24">
    <w:abstractNumId w:val="37"/>
  </w:num>
  <w:num w:numId="25">
    <w:abstractNumId w:val="22"/>
  </w:num>
  <w:num w:numId="26">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6"/>
  </w:num>
  <w:num w:numId="29">
    <w:abstractNumId w:val="19"/>
  </w:num>
  <w:num w:numId="30">
    <w:abstractNumId w:val="42"/>
  </w:num>
  <w:num w:numId="31">
    <w:abstractNumId w:val="38"/>
  </w:num>
  <w:num w:numId="32">
    <w:abstractNumId w:val="19"/>
  </w:num>
  <w:num w:numId="33">
    <w:abstractNumId w:val="19"/>
  </w:num>
  <w:num w:numId="34">
    <w:abstractNumId w:val="19"/>
  </w:num>
  <w:num w:numId="35">
    <w:abstractNumId w:val="12"/>
  </w:num>
  <w:num w:numId="36">
    <w:abstractNumId w:val="24"/>
  </w:num>
  <w:num w:numId="37">
    <w:abstractNumId w:val="13"/>
  </w:num>
  <w:num w:numId="38">
    <w:abstractNumId w:val="29"/>
  </w:num>
  <w:num w:numId="39">
    <w:abstractNumId w:val="31"/>
  </w:num>
  <w:num w:numId="40">
    <w:abstractNumId w:val="1"/>
  </w:num>
  <w:num w:numId="41">
    <w:abstractNumId w:val="5"/>
  </w:num>
  <w:num w:numId="42">
    <w:abstractNumId w:val="6"/>
  </w:num>
  <w:num w:numId="43">
    <w:abstractNumId w:val="17"/>
  </w:num>
  <w:num w:numId="44">
    <w:abstractNumId w:val="27"/>
  </w:num>
  <w:num w:numId="45">
    <w:abstractNumId w:val="33"/>
  </w:num>
  <w:num w:numId="46">
    <w:abstractNumId w:val="41"/>
  </w:num>
  <w:num w:numId="47">
    <w:abstractNumId w:val="9"/>
  </w:num>
  <w:num w:numId="48">
    <w:abstractNumId w:val="44"/>
  </w:num>
  <w:num w:numId="49">
    <w:abstractNumId w:val="49"/>
  </w:num>
  <w:num w:numId="50">
    <w:abstractNumId w:val="48"/>
  </w:num>
  <w:num w:numId="51">
    <w:abstractNumId w:val="21"/>
  </w:num>
  <w:num w:numId="52">
    <w:abstractNumId w:val="47"/>
  </w:num>
  <w:num w:numId="53">
    <w:abstractNumId w:val="39"/>
  </w:num>
  <w:num w:numId="54">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97"/>
    <w:rsid w:val="00001AD8"/>
    <w:rsid w:val="0000339D"/>
    <w:rsid w:val="00003E29"/>
    <w:rsid w:val="00006F06"/>
    <w:rsid w:val="000151CB"/>
    <w:rsid w:val="000164C2"/>
    <w:rsid w:val="00032D5E"/>
    <w:rsid w:val="00085545"/>
    <w:rsid w:val="000A6CB8"/>
    <w:rsid w:val="000A74EA"/>
    <w:rsid w:val="000B46C2"/>
    <w:rsid w:val="000B4A6F"/>
    <w:rsid w:val="000C5461"/>
    <w:rsid w:val="000D401C"/>
    <w:rsid w:val="000E50FB"/>
    <w:rsid w:val="00102C2D"/>
    <w:rsid w:val="00122FB9"/>
    <w:rsid w:val="00123849"/>
    <w:rsid w:val="00157F33"/>
    <w:rsid w:val="00167B49"/>
    <w:rsid w:val="00183367"/>
    <w:rsid w:val="001A2C01"/>
    <w:rsid w:val="001B01F2"/>
    <w:rsid w:val="001C4700"/>
    <w:rsid w:val="001C77BE"/>
    <w:rsid w:val="001D685F"/>
    <w:rsid w:val="001E2192"/>
    <w:rsid w:val="001F5C4C"/>
    <w:rsid w:val="00221A88"/>
    <w:rsid w:val="00221E56"/>
    <w:rsid w:val="002518DA"/>
    <w:rsid w:val="0025546E"/>
    <w:rsid w:val="0027346C"/>
    <w:rsid w:val="00274950"/>
    <w:rsid w:val="00276B6A"/>
    <w:rsid w:val="0029508F"/>
    <w:rsid w:val="002B3D45"/>
    <w:rsid w:val="002F17CE"/>
    <w:rsid w:val="002F623B"/>
    <w:rsid w:val="00301251"/>
    <w:rsid w:val="0030163B"/>
    <w:rsid w:val="003114FF"/>
    <w:rsid w:val="00333A2D"/>
    <w:rsid w:val="0033522C"/>
    <w:rsid w:val="003419B9"/>
    <w:rsid w:val="003631A0"/>
    <w:rsid w:val="00363E43"/>
    <w:rsid w:val="00366AE8"/>
    <w:rsid w:val="00384F4F"/>
    <w:rsid w:val="00397B07"/>
    <w:rsid w:val="003A54CA"/>
    <w:rsid w:val="003C128D"/>
    <w:rsid w:val="003F5F14"/>
    <w:rsid w:val="004063B9"/>
    <w:rsid w:val="00415B17"/>
    <w:rsid w:val="00437095"/>
    <w:rsid w:val="004507F0"/>
    <w:rsid w:val="004711B6"/>
    <w:rsid w:val="00471623"/>
    <w:rsid w:val="00480817"/>
    <w:rsid w:val="004C3586"/>
    <w:rsid w:val="004D54C4"/>
    <w:rsid w:val="004E0864"/>
    <w:rsid w:val="005048A7"/>
    <w:rsid w:val="00515414"/>
    <w:rsid w:val="0054031F"/>
    <w:rsid w:val="00557985"/>
    <w:rsid w:val="00577B61"/>
    <w:rsid w:val="0059692F"/>
    <w:rsid w:val="005A161D"/>
    <w:rsid w:val="005A2845"/>
    <w:rsid w:val="005A29CF"/>
    <w:rsid w:val="005D2A3D"/>
    <w:rsid w:val="005E3596"/>
    <w:rsid w:val="006118C8"/>
    <w:rsid w:val="006522AE"/>
    <w:rsid w:val="006623E6"/>
    <w:rsid w:val="00666A0B"/>
    <w:rsid w:val="006751DE"/>
    <w:rsid w:val="00697B52"/>
    <w:rsid w:val="006A06D7"/>
    <w:rsid w:val="006C1EEE"/>
    <w:rsid w:val="006C315C"/>
    <w:rsid w:val="006D159A"/>
    <w:rsid w:val="00733102"/>
    <w:rsid w:val="00762B03"/>
    <w:rsid w:val="00795BB4"/>
    <w:rsid w:val="007A0EB8"/>
    <w:rsid w:val="007B2413"/>
    <w:rsid w:val="007B4E8B"/>
    <w:rsid w:val="007C6211"/>
    <w:rsid w:val="007D0DD0"/>
    <w:rsid w:val="007D1584"/>
    <w:rsid w:val="007D28CF"/>
    <w:rsid w:val="007D6D8B"/>
    <w:rsid w:val="007D7BFF"/>
    <w:rsid w:val="007E256C"/>
    <w:rsid w:val="007E66BE"/>
    <w:rsid w:val="008056EC"/>
    <w:rsid w:val="0082385A"/>
    <w:rsid w:val="0082695B"/>
    <w:rsid w:val="00833A83"/>
    <w:rsid w:val="0084702D"/>
    <w:rsid w:val="00882A59"/>
    <w:rsid w:val="008C0B56"/>
    <w:rsid w:val="008D35D0"/>
    <w:rsid w:val="008F22C5"/>
    <w:rsid w:val="008F644B"/>
    <w:rsid w:val="008F7B94"/>
    <w:rsid w:val="009104BA"/>
    <w:rsid w:val="0092433C"/>
    <w:rsid w:val="00945C04"/>
    <w:rsid w:val="00954D45"/>
    <w:rsid w:val="0095648F"/>
    <w:rsid w:val="00956A24"/>
    <w:rsid w:val="00960A17"/>
    <w:rsid w:val="00965B98"/>
    <w:rsid w:val="009747BE"/>
    <w:rsid w:val="009966FC"/>
    <w:rsid w:val="009A205F"/>
    <w:rsid w:val="009B4858"/>
    <w:rsid w:val="009B67F6"/>
    <w:rsid w:val="009B6E9A"/>
    <w:rsid w:val="009D1EE9"/>
    <w:rsid w:val="009D375E"/>
    <w:rsid w:val="009D42A6"/>
    <w:rsid w:val="009E50A7"/>
    <w:rsid w:val="00A0175A"/>
    <w:rsid w:val="00A04FBA"/>
    <w:rsid w:val="00A26FAF"/>
    <w:rsid w:val="00A34F6E"/>
    <w:rsid w:val="00A35612"/>
    <w:rsid w:val="00A46751"/>
    <w:rsid w:val="00A46F80"/>
    <w:rsid w:val="00A524CD"/>
    <w:rsid w:val="00A53C66"/>
    <w:rsid w:val="00A8662B"/>
    <w:rsid w:val="00A916A8"/>
    <w:rsid w:val="00AA7D5F"/>
    <w:rsid w:val="00AC009C"/>
    <w:rsid w:val="00AD0622"/>
    <w:rsid w:val="00AD43D9"/>
    <w:rsid w:val="00AD7F23"/>
    <w:rsid w:val="00AE2F0A"/>
    <w:rsid w:val="00AF59CB"/>
    <w:rsid w:val="00AF78FA"/>
    <w:rsid w:val="00B23EA1"/>
    <w:rsid w:val="00B2638C"/>
    <w:rsid w:val="00B50C13"/>
    <w:rsid w:val="00B51131"/>
    <w:rsid w:val="00B562D5"/>
    <w:rsid w:val="00B60FE7"/>
    <w:rsid w:val="00B6229B"/>
    <w:rsid w:val="00B80647"/>
    <w:rsid w:val="00B8788E"/>
    <w:rsid w:val="00B95420"/>
    <w:rsid w:val="00BA39C6"/>
    <w:rsid w:val="00BB3D4D"/>
    <w:rsid w:val="00BB4A55"/>
    <w:rsid w:val="00BB6C9E"/>
    <w:rsid w:val="00BC1BAA"/>
    <w:rsid w:val="00BD1209"/>
    <w:rsid w:val="00BE2086"/>
    <w:rsid w:val="00C17C56"/>
    <w:rsid w:val="00C60E82"/>
    <w:rsid w:val="00C70307"/>
    <w:rsid w:val="00C864BB"/>
    <w:rsid w:val="00CB0676"/>
    <w:rsid w:val="00CB142F"/>
    <w:rsid w:val="00CC2A27"/>
    <w:rsid w:val="00D04A01"/>
    <w:rsid w:val="00D15522"/>
    <w:rsid w:val="00D26000"/>
    <w:rsid w:val="00D35C3E"/>
    <w:rsid w:val="00D60DFF"/>
    <w:rsid w:val="00D93219"/>
    <w:rsid w:val="00D9415B"/>
    <w:rsid w:val="00DB5D6A"/>
    <w:rsid w:val="00DC798D"/>
    <w:rsid w:val="00DD110B"/>
    <w:rsid w:val="00DE0CC7"/>
    <w:rsid w:val="00DF0998"/>
    <w:rsid w:val="00DF3D90"/>
    <w:rsid w:val="00E02B6D"/>
    <w:rsid w:val="00E05297"/>
    <w:rsid w:val="00E171D3"/>
    <w:rsid w:val="00E27549"/>
    <w:rsid w:val="00E34DEE"/>
    <w:rsid w:val="00E42C6E"/>
    <w:rsid w:val="00EB5897"/>
    <w:rsid w:val="00EC5F0A"/>
    <w:rsid w:val="00ED3811"/>
    <w:rsid w:val="00EE0D54"/>
    <w:rsid w:val="00F10AC1"/>
    <w:rsid w:val="00F146CB"/>
    <w:rsid w:val="00F15949"/>
    <w:rsid w:val="00F16D50"/>
    <w:rsid w:val="00F24F35"/>
    <w:rsid w:val="00F31A0D"/>
    <w:rsid w:val="00F600CD"/>
    <w:rsid w:val="00F6215B"/>
    <w:rsid w:val="00F827A3"/>
    <w:rsid w:val="00F82B29"/>
    <w:rsid w:val="00F8501F"/>
    <w:rsid w:val="00F94B7C"/>
    <w:rsid w:val="00FB20E9"/>
    <w:rsid w:val="00FC2E87"/>
    <w:rsid w:val="00FC4F71"/>
    <w:rsid w:val="00FD3158"/>
    <w:rsid w:val="00FD43CD"/>
    <w:rsid w:val="00FE3665"/>
    <w:rsid w:val="00FE37AA"/>
    <w:rsid w:val="00FF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71"/>
    <w:pPr>
      <w:spacing w:before="60"/>
    </w:pPr>
    <w:rPr>
      <w:rFonts w:ascii="Arial" w:hAnsi="Arial" w:cs="Arial"/>
      <w:sz w:val="22"/>
      <w:szCs w:val="24"/>
      <w:lang w:eastAsia="en-US"/>
    </w:rPr>
  </w:style>
  <w:style w:type="paragraph" w:styleId="Heading1">
    <w:name w:val="heading 1"/>
    <w:basedOn w:val="Normal"/>
    <w:next w:val="Normal"/>
    <w:uiPriority w:val="99"/>
    <w:qFormat/>
    <w:rsid w:val="00882A59"/>
    <w:pPr>
      <w:keepNext/>
      <w:pageBreakBefore/>
      <w:numPr>
        <w:numId w:val="1"/>
      </w:numPr>
      <w:spacing w:before="240"/>
      <w:outlineLvl w:val="0"/>
    </w:pPr>
    <w:rPr>
      <w:rFonts w:ascii="Arial Bold" w:hAnsi="Arial Bold"/>
      <w:b/>
      <w:bCs/>
      <w:color w:val="333333"/>
      <w:kern w:val="32"/>
      <w:sz w:val="28"/>
      <w:szCs w:val="32"/>
    </w:rPr>
  </w:style>
  <w:style w:type="paragraph" w:styleId="Heading2">
    <w:name w:val="heading 2"/>
    <w:basedOn w:val="Normal"/>
    <w:next w:val="Normal"/>
    <w:link w:val="Heading2Char"/>
    <w:uiPriority w:val="99"/>
    <w:qFormat/>
    <w:rsid w:val="006623E6"/>
    <w:pPr>
      <w:keepNext/>
      <w:numPr>
        <w:ilvl w:val="1"/>
        <w:numId w:val="1"/>
      </w:numPr>
      <w:spacing w:before="300"/>
      <w:outlineLvl w:val="1"/>
    </w:pPr>
    <w:rPr>
      <w:rFonts w:ascii="Arial Bold" w:hAnsi="Arial Bold"/>
      <w:b/>
      <w:bCs/>
      <w:iCs/>
      <w:color w:val="404040" w:themeColor="text1" w:themeTint="BF"/>
      <w:sz w:val="24"/>
      <w:szCs w:val="28"/>
    </w:rPr>
  </w:style>
  <w:style w:type="paragraph" w:styleId="Heading3">
    <w:name w:val="heading 3"/>
    <w:basedOn w:val="Normal"/>
    <w:next w:val="Normal"/>
    <w:uiPriority w:val="99"/>
    <w:qFormat/>
    <w:rsid w:val="006623E6"/>
    <w:pPr>
      <w:keepNext/>
      <w:numPr>
        <w:ilvl w:val="2"/>
        <w:numId w:val="1"/>
      </w:numPr>
      <w:spacing w:before="180"/>
      <w:outlineLvl w:val="2"/>
    </w:pPr>
    <w:rPr>
      <w:rFonts w:ascii="Arial Bold" w:hAnsi="Arial Bold"/>
      <w:b/>
      <w:bCs/>
      <w:color w:val="404040" w:themeColor="text1" w:themeTint="BF"/>
      <w:szCs w:val="26"/>
    </w:rPr>
  </w:style>
  <w:style w:type="paragraph" w:styleId="Heading4">
    <w:name w:val="heading 4"/>
    <w:basedOn w:val="Normal"/>
    <w:next w:val="Normal"/>
    <w:uiPriority w:val="99"/>
    <w:qFormat/>
    <w:rsid w:val="00882A5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9"/>
    <w:qFormat/>
    <w:rsid w:val="00882A59"/>
    <w:pPr>
      <w:numPr>
        <w:ilvl w:val="4"/>
        <w:numId w:val="1"/>
      </w:numPr>
      <w:spacing w:before="240" w:after="60"/>
      <w:outlineLvl w:val="4"/>
    </w:pPr>
    <w:rPr>
      <w:b/>
      <w:bCs/>
      <w:i/>
      <w:iCs/>
      <w:sz w:val="26"/>
      <w:szCs w:val="26"/>
    </w:rPr>
  </w:style>
  <w:style w:type="paragraph" w:styleId="Heading6">
    <w:name w:val="heading 6"/>
    <w:basedOn w:val="Normal"/>
    <w:next w:val="Normal"/>
    <w:uiPriority w:val="99"/>
    <w:qFormat/>
    <w:rsid w:val="00882A59"/>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uiPriority w:val="99"/>
    <w:qFormat/>
    <w:rsid w:val="00882A59"/>
    <w:pPr>
      <w:numPr>
        <w:ilvl w:val="6"/>
        <w:numId w:val="1"/>
      </w:numPr>
      <w:spacing w:before="240" w:after="60"/>
      <w:outlineLvl w:val="6"/>
    </w:pPr>
    <w:rPr>
      <w:rFonts w:ascii="Times New Roman" w:hAnsi="Times New Roman" w:cs="Times New Roman"/>
      <w:sz w:val="24"/>
    </w:rPr>
  </w:style>
  <w:style w:type="paragraph" w:styleId="Heading8">
    <w:name w:val="heading 8"/>
    <w:basedOn w:val="Normal"/>
    <w:next w:val="Normal"/>
    <w:uiPriority w:val="99"/>
    <w:qFormat/>
    <w:rsid w:val="00882A59"/>
    <w:pPr>
      <w:numPr>
        <w:ilvl w:val="7"/>
        <w:numId w:val="1"/>
      </w:numPr>
      <w:spacing w:before="240" w:after="60"/>
      <w:outlineLvl w:val="7"/>
    </w:pPr>
    <w:rPr>
      <w:rFonts w:ascii="Times New Roman" w:hAnsi="Times New Roman" w:cs="Times New Roman"/>
      <w:i/>
      <w:iCs/>
      <w:sz w:val="24"/>
    </w:rPr>
  </w:style>
  <w:style w:type="paragraph" w:styleId="Heading9">
    <w:name w:val="heading 9"/>
    <w:basedOn w:val="Normal"/>
    <w:next w:val="Normal"/>
    <w:uiPriority w:val="99"/>
    <w:qFormat/>
    <w:rsid w:val="00882A59"/>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2A59"/>
    <w:pPr>
      <w:spacing w:before="240" w:after="60"/>
      <w:jc w:val="center"/>
      <w:outlineLvl w:val="0"/>
    </w:pPr>
    <w:rPr>
      <w:b/>
      <w:bCs/>
      <w:kern w:val="28"/>
      <w:sz w:val="32"/>
      <w:szCs w:val="32"/>
    </w:rPr>
  </w:style>
  <w:style w:type="paragraph" w:customStyle="1" w:styleId="ToCTitle">
    <w:name w:val="ToC Title"/>
    <w:basedOn w:val="Normal"/>
    <w:rsid w:val="00882A59"/>
    <w:rPr>
      <w:rFonts w:ascii="Arial Bold" w:hAnsi="Arial Bold"/>
      <w:b/>
      <w:sz w:val="32"/>
    </w:rPr>
  </w:style>
  <w:style w:type="paragraph" w:styleId="BodyText">
    <w:name w:val="Body Text"/>
    <w:basedOn w:val="Normal"/>
    <w:link w:val="BodyTextChar"/>
    <w:uiPriority w:val="99"/>
    <w:semiHidden/>
    <w:rsid w:val="00882A59"/>
    <w:rPr>
      <w:i/>
      <w:iCs/>
    </w:rPr>
  </w:style>
  <w:style w:type="paragraph" w:styleId="TOC1">
    <w:name w:val="toc 1"/>
    <w:basedOn w:val="Normal"/>
    <w:next w:val="Normal"/>
    <w:autoRedefine/>
    <w:uiPriority w:val="39"/>
    <w:rsid w:val="00882A59"/>
    <w:pPr>
      <w:spacing w:before="240"/>
    </w:pPr>
    <w:rPr>
      <w:sz w:val="24"/>
    </w:rPr>
  </w:style>
  <w:style w:type="paragraph" w:styleId="TOC2">
    <w:name w:val="toc 2"/>
    <w:basedOn w:val="Normal"/>
    <w:next w:val="Normal"/>
    <w:autoRedefine/>
    <w:uiPriority w:val="39"/>
    <w:rsid w:val="00882A59"/>
    <w:pPr>
      <w:ind w:left="397"/>
    </w:pPr>
    <w:rPr>
      <w:noProof/>
    </w:rPr>
  </w:style>
  <w:style w:type="paragraph" w:styleId="TOC3">
    <w:name w:val="toc 3"/>
    <w:basedOn w:val="Normal"/>
    <w:next w:val="Normal"/>
    <w:autoRedefine/>
    <w:uiPriority w:val="39"/>
    <w:rsid w:val="00882A59"/>
    <w:pPr>
      <w:ind w:left="1077"/>
    </w:pPr>
    <w:rPr>
      <w:noProof/>
    </w:rPr>
  </w:style>
  <w:style w:type="paragraph" w:styleId="TOC4">
    <w:name w:val="toc 4"/>
    <w:basedOn w:val="Normal"/>
    <w:next w:val="Normal"/>
    <w:autoRedefine/>
    <w:semiHidden/>
    <w:rsid w:val="00882A59"/>
    <w:pPr>
      <w:ind w:left="660"/>
    </w:pPr>
  </w:style>
  <w:style w:type="paragraph" w:styleId="TOC5">
    <w:name w:val="toc 5"/>
    <w:basedOn w:val="Normal"/>
    <w:next w:val="Normal"/>
    <w:autoRedefine/>
    <w:semiHidden/>
    <w:rsid w:val="00882A59"/>
    <w:pPr>
      <w:ind w:left="880"/>
    </w:pPr>
  </w:style>
  <w:style w:type="paragraph" w:styleId="TOC6">
    <w:name w:val="toc 6"/>
    <w:basedOn w:val="Normal"/>
    <w:next w:val="Normal"/>
    <w:autoRedefine/>
    <w:semiHidden/>
    <w:rsid w:val="00882A59"/>
    <w:pPr>
      <w:ind w:left="1100"/>
    </w:pPr>
  </w:style>
  <w:style w:type="paragraph" w:styleId="TOC7">
    <w:name w:val="toc 7"/>
    <w:basedOn w:val="Normal"/>
    <w:next w:val="Normal"/>
    <w:autoRedefine/>
    <w:semiHidden/>
    <w:rsid w:val="00882A59"/>
    <w:pPr>
      <w:ind w:left="1320"/>
    </w:pPr>
  </w:style>
  <w:style w:type="paragraph" w:styleId="TOC8">
    <w:name w:val="toc 8"/>
    <w:basedOn w:val="Normal"/>
    <w:next w:val="Normal"/>
    <w:autoRedefine/>
    <w:semiHidden/>
    <w:rsid w:val="00882A59"/>
    <w:pPr>
      <w:ind w:left="1540"/>
    </w:pPr>
  </w:style>
  <w:style w:type="paragraph" w:styleId="TOC9">
    <w:name w:val="toc 9"/>
    <w:basedOn w:val="Normal"/>
    <w:next w:val="Normal"/>
    <w:autoRedefine/>
    <w:semiHidden/>
    <w:rsid w:val="00882A59"/>
    <w:pPr>
      <w:ind w:left="1760"/>
    </w:pPr>
  </w:style>
  <w:style w:type="character" w:styleId="Hyperlink">
    <w:name w:val="Hyperlink"/>
    <w:basedOn w:val="DefaultParagraphFont"/>
    <w:uiPriority w:val="99"/>
    <w:rsid w:val="00882A59"/>
    <w:rPr>
      <w:rFonts w:ascii="Arial" w:hAnsi="Arial" w:cs="Arial"/>
      <w:color w:val="0000FF"/>
      <w:sz w:val="22"/>
      <w:u w:val="single"/>
    </w:rPr>
  </w:style>
  <w:style w:type="paragraph" w:styleId="BodyTextIndent">
    <w:name w:val="Body Text Indent"/>
    <w:basedOn w:val="Normal"/>
    <w:semiHidden/>
    <w:rsid w:val="00882A59"/>
    <w:pPr>
      <w:ind w:left="360"/>
    </w:pPr>
  </w:style>
  <w:style w:type="paragraph" w:customStyle="1" w:styleId="TableHeader">
    <w:name w:val="Table Header"/>
    <w:basedOn w:val="Normal"/>
    <w:rsid w:val="00882A59"/>
    <w:rPr>
      <w:rFonts w:ascii="Arial Bold" w:hAnsi="Arial Bold" w:cs="Times New Roman"/>
      <w:b/>
    </w:rPr>
  </w:style>
  <w:style w:type="paragraph" w:styleId="Caption">
    <w:name w:val="caption"/>
    <w:basedOn w:val="Normal"/>
    <w:next w:val="Normal"/>
    <w:qFormat/>
    <w:rsid w:val="00882A59"/>
    <w:pPr>
      <w:spacing w:before="120" w:after="120"/>
    </w:pPr>
    <w:rPr>
      <w:b/>
      <w:bCs/>
      <w:sz w:val="20"/>
      <w:szCs w:val="20"/>
    </w:rPr>
  </w:style>
  <w:style w:type="paragraph" w:styleId="Header">
    <w:name w:val="header"/>
    <w:basedOn w:val="Normal"/>
    <w:link w:val="HeaderChar"/>
    <w:uiPriority w:val="99"/>
    <w:rsid w:val="00882A59"/>
    <w:pPr>
      <w:tabs>
        <w:tab w:val="center" w:pos="4320"/>
        <w:tab w:val="right" w:pos="8640"/>
      </w:tabs>
    </w:pPr>
  </w:style>
  <w:style w:type="paragraph" w:styleId="Footer">
    <w:name w:val="footer"/>
    <w:basedOn w:val="Normal"/>
    <w:semiHidden/>
    <w:rsid w:val="00882A59"/>
    <w:pPr>
      <w:tabs>
        <w:tab w:val="center" w:pos="4320"/>
        <w:tab w:val="right" w:pos="8640"/>
      </w:tabs>
    </w:pPr>
  </w:style>
  <w:style w:type="character" w:styleId="PageNumber">
    <w:name w:val="page number"/>
    <w:basedOn w:val="DefaultParagraphFont"/>
    <w:semiHidden/>
    <w:rsid w:val="00882A59"/>
    <w:rPr>
      <w:rFonts w:ascii="Times New Roman" w:hAnsi="Times New Roman" w:cs="Times New Roman"/>
    </w:rPr>
  </w:style>
  <w:style w:type="character" w:styleId="FollowedHyperlink">
    <w:name w:val="FollowedHyperlink"/>
    <w:basedOn w:val="DefaultParagraphFont"/>
    <w:semiHidden/>
    <w:rsid w:val="00882A59"/>
    <w:rPr>
      <w:rFonts w:ascii="Times New Roman" w:hAnsi="Times New Roman" w:cs="Times New Roman"/>
      <w:color w:val="800080"/>
      <w:u w:val="single"/>
    </w:rPr>
  </w:style>
  <w:style w:type="paragraph" w:styleId="BalloonText">
    <w:name w:val="Balloon Text"/>
    <w:basedOn w:val="Normal"/>
    <w:rsid w:val="00882A59"/>
    <w:pPr>
      <w:spacing w:before="0"/>
    </w:pPr>
    <w:rPr>
      <w:rFonts w:ascii="Tahoma" w:hAnsi="Tahoma" w:cs="Tahoma"/>
      <w:sz w:val="16"/>
      <w:szCs w:val="16"/>
    </w:rPr>
  </w:style>
  <w:style w:type="character" w:customStyle="1" w:styleId="BalloonTextChar">
    <w:name w:val="Balloon Text Char"/>
    <w:basedOn w:val="DefaultParagraphFont"/>
    <w:rsid w:val="00882A59"/>
    <w:rPr>
      <w:rFonts w:ascii="Tahoma" w:hAnsi="Tahoma" w:cs="Tahoma"/>
      <w:sz w:val="16"/>
      <w:szCs w:val="16"/>
      <w:lang w:val="en-US" w:eastAsia="en-US"/>
    </w:rPr>
  </w:style>
  <w:style w:type="paragraph" w:customStyle="1" w:styleId="clause">
    <w:name w:val="clause"/>
    <w:basedOn w:val="Normal"/>
    <w:rsid w:val="00882A59"/>
    <w:pPr>
      <w:spacing w:before="100" w:beforeAutospacing="1" w:after="100" w:afterAutospacing="1"/>
    </w:pPr>
    <w:rPr>
      <w:rFonts w:ascii="Times New Roman" w:eastAsia="SimSun" w:hAnsi="Times New Roman" w:cs="Times New Roman"/>
      <w:sz w:val="24"/>
      <w:lang w:val="en-GB" w:eastAsia="zh-CN"/>
    </w:rPr>
  </w:style>
  <w:style w:type="character" w:styleId="Strong">
    <w:name w:val="Strong"/>
    <w:basedOn w:val="DefaultParagraphFont"/>
    <w:qFormat/>
    <w:rsid w:val="00882A59"/>
    <w:rPr>
      <w:rFonts w:ascii="Arial Bold" w:hAnsi="Arial Bold" w:cs="Times New Roman"/>
      <w:b/>
      <w:bCs/>
      <w:sz w:val="20"/>
    </w:rPr>
  </w:style>
  <w:style w:type="paragraph" w:styleId="BodyText2">
    <w:name w:val="Body Text 2"/>
    <w:basedOn w:val="Normal"/>
    <w:semiHidden/>
    <w:rsid w:val="00882A59"/>
    <w:rPr>
      <w:color w:val="333333"/>
    </w:rPr>
  </w:style>
  <w:style w:type="paragraph" w:styleId="ListParagraph">
    <w:name w:val="List Paragraph"/>
    <w:basedOn w:val="Normal"/>
    <w:uiPriority w:val="34"/>
    <w:qFormat/>
    <w:rsid w:val="00BC1BAA"/>
    <w:pPr>
      <w:ind w:left="720"/>
      <w:contextualSpacing/>
    </w:pPr>
  </w:style>
  <w:style w:type="character" w:customStyle="1" w:styleId="Heading2Char">
    <w:name w:val="Heading 2 Char"/>
    <w:basedOn w:val="DefaultParagraphFont"/>
    <w:link w:val="Heading2"/>
    <w:uiPriority w:val="99"/>
    <w:rsid w:val="006623E6"/>
    <w:rPr>
      <w:rFonts w:ascii="Arial Bold" w:hAnsi="Arial Bold" w:cs="Arial"/>
      <w:b/>
      <w:bCs/>
      <w:iCs/>
      <w:color w:val="404040" w:themeColor="text1" w:themeTint="BF"/>
      <w:sz w:val="24"/>
      <w:szCs w:val="28"/>
      <w:lang w:eastAsia="en-US"/>
    </w:rPr>
  </w:style>
  <w:style w:type="character" w:customStyle="1" w:styleId="BodyTextChar">
    <w:name w:val="Body Text Char"/>
    <w:basedOn w:val="DefaultParagraphFont"/>
    <w:link w:val="BodyText"/>
    <w:uiPriority w:val="99"/>
    <w:semiHidden/>
    <w:rsid w:val="00085545"/>
    <w:rPr>
      <w:rFonts w:ascii="Arial" w:hAnsi="Arial" w:cs="Arial"/>
      <w:i/>
      <w:iCs/>
      <w:sz w:val="22"/>
      <w:szCs w:val="24"/>
      <w:lang w:eastAsia="en-US"/>
    </w:rPr>
  </w:style>
  <w:style w:type="paragraph" w:styleId="NormalWeb">
    <w:name w:val="Normal (Web)"/>
    <w:basedOn w:val="Normal"/>
    <w:uiPriority w:val="99"/>
    <w:unhideWhenUsed/>
    <w:rsid w:val="004063B9"/>
    <w:pPr>
      <w:spacing w:before="100" w:beforeAutospacing="1" w:after="100" w:afterAutospacing="1"/>
    </w:pPr>
    <w:rPr>
      <w:rFonts w:ascii="Times New Roman" w:hAnsi="Times New Roman" w:cs="Times New Roman"/>
      <w:sz w:val="24"/>
    </w:rPr>
  </w:style>
  <w:style w:type="table" w:styleId="MediumShading1-Accent6">
    <w:name w:val="Medium Shading 1 Accent 6"/>
    <w:basedOn w:val="TableNormal"/>
    <w:uiPriority w:val="63"/>
    <w:rsid w:val="004063B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AE2F0A"/>
    <w:rPr>
      <w:rFonts w:ascii="Arial" w:hAnsi="Arial" w:cs="Arial"/>
      <w:sz w:val="22"/>
      <w:szCs w:val="24"/>
      <w:lang w:eastAsia="en-US"/>
    </w:rPr>
  </w:style>
  <w:style w:type="table" w:styleId="TableGrid">
    <w:name w:val="Table Grid"/>
    <w:basedOn w:val="TableNormal"/>
    <w:uiPriority w:val="59"/>
    <w:rsid w:val="00AE2F0A"/>
    <w:rPr>
      <w:rFonts w:asciiTheme="minorHAnsi" w:eastAsiaTheme="minorHAnsi" w:hAnsiTheme="minorHAnsi" w:cstheme="minorBidi"/>
      <w:sz w:val="22"/>
      <w:szCs w:val="22"/>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C4F71"/>
    <w:rPr>
      <w:rFonts w:ascii="Arial" w:hAnsi="Arial"/>
      <w:b/>
      <w:iCs/>
      <w:color w:val="404040" w:themeColor="text1" w:themeTint="BF"/>
      <w:sz w:val="22"/>
    </w:rPr>
  </w:style>
  <w:style w:type="table" w:styleId="MediumShading2-Accent2">
    <w:name w:val="Medium Shading 2 Accent 2"/>
    <w:basedOn w:val="TableNormal"/>
    <w:uiPriority w:val="64"/>
    <w:rsid w:val="00AA7D5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DefaultParagraphFont"/>
    <w:rsid w:val="00515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71"/>
    <w:pPr>
      <w:spacing w:before="60"/>
    </w:pPr>
    <w:rPr>
      <w:rFonts w:ascii="Arial" w:hAnsi="Arial" w:cs="Arial"/>
      <w:sz w:val="22"/>
      <w:szCs w:val="24"/>
      <w:lang w:eastAsia="en-US"/>
    </w:rPr>
  </w:style>
  <w:style w:type="paragraph" w:styleId="Heading1">
    <w:name w:val="heading 1"/>
    <w:basedOn w:val="Normal"/>
    <w:next w:val="Normal"/>
    <w:uiPriority w:val="99"/>
    <w:qFormat/>
    <w:rsid w:val="00882A59"/>
    <w:pPr>
      <w:keepNext/>
      <w:pageBreakBefore/>
      <w:numPr>
        <w:numId w:val="1"/>
      </w:numPr>
      <w:spacing w:before="240"/>
      <w:outlineLvl w:val="0"/>
    </w:pPr>
    <w:rPr>
      <w:rFonts w:ascii="Arial Bold" w:hAnsi="Arial Bold"/>
      <w:b/>
      <w:bCs/>
      <w:color w:val="333333"/>
      <w:kern w:val="32"/>
      <w:sz w:val="28"/>
      <w:szCs w:val="32"/>
    </w:rPr>
  </w:style>
  <w:style w:type="paragraph" w:styleId="Heading2">
    <w:name w:val="heading 2"/>
    <w:basedOn w:val="Normal"/>
    <w:next w:val="Normal"/>
    <w:link w:val="Heading2Char"/>
    <w:uiPriority w:val="99"/>
    <w:qFormat/>
    <w:rsid w:val="006623E6"/>
    <w:pPr>
      <w:keepNext/>
      <w:numPr>
        <w:ilvl w:val="1"/>
        <w:numId w:val="1"/>
      </w:numPr>
      <w:spacing w:before="300"/>
      <w:outlineLvl w:val="1"/>
    </w:pPr>
    <w:rPr>
      <w:rFonts w:ascii="Arial Bold" w:hAnsi="Arial Bold"/>
      <w:b/>
      <w:bCs/>
      <w:iCs/>
      <w:color w:val="404040" w:themeColor="text1" w:themeTint="BF"/>
      <w:sz w:val="24"/>
      <w:szCs w:val="28"/>
    </w:rPr>
  </w:style>
  <w:style w:type="paragraph" w:styleId="Heading3">
    <w:name w:val="heading 3"/>
    <w:basedOn w:val="Normal"/>
    <w:next w:val="Normal"/>
    <w:uiPriority w:val="99"/>
    <w:qFormat/>
    <w:rsid w:val="006623E6"/>
    <w:pPr>
      <w:keepNext/>
      <w:numPr>
        <w:ilvl w:val="2"/>
        <w:numId w:val="1"/>
      </w:numPr>
      <w:spacing w:before="180"/>
      <w:outlineLvl w:val="2"/>
    </w:pPr>
    <w:rPr>
      <w:rFonts w:ascii="Arial Bold" w:hAnsi="Arial Bold"/>
      <w:b/>
      <w:bCs/>
      <w:color w:val="404040" w:themeColor="text1" w:themeTint="BF"/>
      <w:szCs w:val="26"/>
    </w:rPr>
  </w:style>
  <w:style w:type="paragraph" w:styleId="Heading4">
    <w:name w:val="heading 4"/>
    <w:basedOn w:val="Normal"/>
    <w:next w:val="Normal"/>
    <w:uiPriority w:val="99"/>
    <w:qFormat/>
    <w:rsid w:val="00882A59"/>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uiPriority w:val="99"/>
    <w:qFormat/>
    <w:rsid w:val="00882A59"/>
    <w:pPr>
      <w:numPr>
        <w:ilvl w:val="4"/>
        <w:numId w:val="1"/>
      </w:numPr>
      <w:spacing w:before="240" w:after="60"/>
      <w:outlineLvl w:val="4"/>
    </w:pPr>
    <w:rPr>
      <w:b/>
      <w:bCs/>
      <w:i/>
      <w:iCs/>
      <w:sz w:val="26"/>
      <w:szCs w:val="26"/>
    </w:rPr>
  </w:style>
  <w:style w:type="paragraph" w:styleId="Heading6">
    <w:name w:val="heading 6"/>
    <w:basedOn w:val="Normal"/>
    <w:next w:val="Normal"/>
    <w:uiPriority w:val="99"/>
    <w:qFormat/>
    <w:rsid w:val="00882A59"/>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uiPriority w:val="99"/>
    <w:qFormat/>
    <w:rsid w:val="00882A59"/>
    <w:pPr>
      <w:numPr>
        <w:ilvl w:val="6"/>
        <w:numId w:val="1"/>
      </w:numPr>
      <w:spacing w:before="240" w:after="60"/>
      <w:outlineLvl w:val="6"/>
    </w:pPr>
    <w:rPr>
      <w:rFonts w:ascii="Times New Roman" w:hAnsi="Times New Roman" w:cs="Times New Roman"/>
      <w:sz w:val="24"/>
    </w:rPr>
  </w:style>
  <w:style w:type="paragraph" w:styleId="Heading8">
    <w:name w:val="heading 8"/>
    <w:basedOn w:val="Normal"/>
    <w:next w:val="Normal"/>
    <w:uiPriority w:val="99"/>
    <w:qFormat/>
    <w:rsid w:val="00882A59"/>
    <w:pPr>
      <w:numPr>
        <w:ilvl w:val="7"/>
        <w:numId w:val="1"/>
      </w:numPr>
      <w:spacing w:before="240" w:after="60"/>
      <w:outlineLvl w:val="7"/>
    </w:pPr>
    <w:rPr>
      <w:rFonts w:ascii="Times New Roman" w:hAnsi="Times New Roman" w:cs="Times New Roman"/>
      <w:i/>
      <w:iCs/>
      <w:sz w:val="24"/>
    </w:rPr>
  </w:style>
  <w:style w:type="paragraph" w:styleId="Heading9">
    <w:name w:val="heading 9"/>
    <w:basedOn w:val="Normal"/>
    <w:next w:val="Normal"/>
    <w:uiPriority w:val="99"/>
    <w:qFormat/>
    <w:rsid w:val="00882A59"/>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82A59"/>
    <w:pPr>
      <w:spacing w:before="240" w:after="60"/>
      <w:jc w:val="center"/>
      <w:outlineLvl w:val="0"/>
    </w:pPr>
    <w:rPr>
      <w:b/>
      <w:bCs/>
      <w:kern w:val="28"/>
      <w:sz w:val="32"/>
      <w:szCs w:val="32"/>
    </w:rPr>
  </w:style>
  <w:style w:type="paragraph" w:customStyle="1" w:styleId="ToCTitle">
    <w:name w:val="ToC Title"/>
    <w:basedOn w:val="Normal"/>
    <w:rsid w:val="00882A59"/>
    <w:rPr>
      <w:rFonts w:ascii="Arial Bold" w:hAnsi="Arial Bold"/>
      <w:b/>
      <w:sz w:val="32"/>
    </w:rPr>
  </w:style>
  <w:style w:type="paragraph" w:styleId="BodyText">
    <w:name w:val="Body Text"/>
    <w:basedOn w:val="Normal"/>
    <w:link w:val="BodyTextChar"/>
    <w:uiPriority w:val="99"/>
    <w:semiHidden/>
    <w:rsid w:val="00882A59"/>
    <w:rPr>
      <w:i/>
      <w:iCs/>
    </w:rPr>
  </w:style>
  <w:style w:type="paragraph" w:styleId="TOC1">
    <w:name w:val="toc 1"/>
    <w:basedOn w:val="Normal"/>
    <w:next w:val="Normal"/>
    <w:autoRedefine/>
    <w:uiPriority w:val="39"/>
    <w:rsid w:val="00882A59"/>
    <w:pPr>
      <w:spacing w:before="240"/>
    </w:pPr>
    <w:rPr>
      <w:sz w:val="24"/>
    </w:rPr>
  </w:style>
  <w:style w:type="paragraph" w:styleId="TOC2">
    <w:name w:val="toc 2"/>
    <w:basedOn w:val="Normal"/>
    <w:next w:val="Normal"/>
    <w:autoRedefine/>
    <w:uiPriority w:val="39"/>
    <w:rsid w:val="00882A59"/>
    <w:pPr>
      <w:ind w:left="397"/>
    </w:pPr>
    <w:rPr>
      <w:noProof/>
    </w:rPr>
  </w:style>
  <w:style w:type="paragraph" w:styleId="TOC3">
    <w:name w:val="toc 3"/>
    <w:basedOn w:val="Normal"/>
    <w:next w:val="Normal"/>
    <w:autoRedefine/>
    <w:uiPriority w:val="39"/>
    <w:rsid w:val="00882A59"/>
    <w:pPr>
      <w:ind w:left="1077"/>
    </w:pPr>
    <w:rPr>
      <w:noProof/>
    </w:rPr>
  </w:style>
  <w:style w:type="paragraph" w:styleId="TOC4">
    <w:name w:val="toc 4"/>
    <w:basedOn w:val="Normal"/>
    <w:next w:val="Normal"/>
    <w:autoRedefine/>
    <w:semiHidden/>
    <w:rsid w:val="00882A59"/>
    <w:pPr>
      <w:ind w:left="660"/>
    </w:pPr>
  </w:style>
  <w:style w:type="paragraph" w:styleId="TOC5">
    <w:name w:val="toc 5"/>
    <w:basedOn w:val="Normal"/>
    <w:next w:val="Normal"/>
    <w:autoRedefine/>
    <w:semiHidden/>
    <w:rsid w:val="00882A59"/>
    <w:pPr>
      <w:ind w:left="880"/>
    </w:pPr>
  </w:style>
  <w:style w:type="paragraph" w:styleId="TOC6">
    <w:name w:val="toc 6"/>
    <w:basedOn w:val="Normal"/>
    <w:next w:val="Normal"/>
    <w:autoRedefine/>
    <w:semiHidden/>
    <w:rsid w:val="00882A59"/>
    <w:pPr>
      <w:ind w:left="1100"/>
    </w:pPr>
  </w:style>
  <w:style w:type="paragraph" w:styleId="TOC7">
    <w:name w:val="toc 7"/>
    <w:basedOn w:val="Normal"/>
    <w:next w:val="Normal"/>
    <w:autoRedefine/>
    <w:semiHidden/>
    <w:rsid w:val="00882A59"/>
    <w:pPr>
      <w:ind w:left="1320"/>
    </w:pPr>
  </w:style>
  <w:style w:type="paragraph" w:styleId="TOC8">
    <w:name w:val="toc 8"/>
    <w:basedOn w:val="Normal"/>
    <w:next w:val="Normal"/>
    <w:autoRedefine/>
    <w:semiHidden/>
    <w:rsid w:val="00882A59"/>
    <w:pPr>
      <w:ind w:left="1540"/>
    </w:pPr>
  </w:style>
  <w:style w:type="paragraph" w:styleId="TOC9">
    <w:name w:val="toc 9"/>
    <w:basedOn w:val="Normal"/>
    <w:next w:val="Normal"/>
    <w:autoRedefine/>
    <w:semiHidden/>
    <w:rsid w:val="00882A59"/>
    <w:pPr>
      <w:ind w:left="1760"/>
    </w:pPr>
  </w:style>
  <w:style w:type="character" w:styleId="Hyperlink">
    <w:name w:val="Hyperlink"/>
    <w:basedOn w:val="DefaultParagraphFont"/>
    <w:uiPriority w:val="99"/>
    <w:rsid w:val="00882A59"/>
    <w:rPr>
      <w:rFonts w:ascii="Arial" w:hAnsi="Arial" w:cs="Arial"/>
      <w:color w:val="0000FF"/>
      <w:sz w:val="22"/>
      <w:u w:val="single"/>
    </w:rPr>
  </w:style>
  <w:style w:type="paragraph" w:styleId="BodyTextIndent">
    <w:name w:val="Body Text Indent"/>
    <w:basedOn w:val="Normal"/>
    <w:semiHidden/>
    <w:rsid w:val="00882A59"/>
    <w:pPr>
      <w:ind w:left="360"/>
    </w:pPr>
  </w:style>
  <w:style w:type="paragraph" w:customStyle="1" w:styleId="TableHeader">
    <w:name w:val="Table Header"/>
    <w:basedOn w:val="Normal"/>
    <w:rsid w:val="00882A59"/>
    <w:rPr>
      <w:rFonts w:ascii="Arial Bold" w:hAnsi="Arial Bold" w:cs="Times New Roman"/>
      <w:b/>
    </w:rPr>
  </w:style>
  <w:style w:type="paragraph" w:styleId="Caption">
    <w:name w:val="caption"/>
    <w:basedOn w:val="Normal"/>
    <w:next w:val="Normal"/>
    <w:qFormat/>
    <w:rsid w:val="00882A59"/>
    <w:pPr>
      <w:spacing w:before="120" w:after="120"/>
    </w:pPr>
    <w:rPr>
      <w:b/>
      <w:bCs/>
      <w:sz w:val="20"/>
      <w:szCs w:val="20"/>
    </w:rPr>
  </w:style>
  <w:style w:type="paragraph" w:styleId="Header">
    <w:name w:val="header"/>
    <w:basedOn w:val="Normal"/>
    <w:link w:val="HeaderChar"/>
    <w:uiPriority w:val="99"/>
    <w:rsid w:val="00882A59"/>
    <w:pPr>
      <w:tabs>
        <w:tab w:val="center" w:pos="4320"/>
        <w:tab w:val="right" w:pos="8640"/>
      </w:tabs>
    </w:pPr>
  </w:style>
  <w:style w:type="paragraph" w:styleId="Footer">
    <w:name w:val="footer"/>
    <w:basedOn w:val="Normal"/>
    <w:semiHidden/>
    <w:rsid w:val="00882A59"/>
    <w:pPr>
      <w:tabs>
        <w:tab w:val="center" w:pos="4320"/>
        <w:tab w:val="right" w:pos="8640"/>
      </w:tabs>
    </w:pPr>
  </w:style>
  <w:style w:type="character" w:styleId="PageNumber">
    <w:name w:val="page number"/>
    <w:basedOn w:val="DefaultParagraphFont"/>
    <w:semiHidden/>
    <w:rsid w:val="00882A59"/>
    <w:rPr>
      <w:rFonts w:ascii="Times New Roman" w:hAnsi="Times New Roman" w:cs="Times New Roman"/>
    </w:rPr>
  </w:style>
  <w:style w:type="character" w:styleId="FollowedHyperlink">
    <w:name w:val="FollowedHyperlink"/>
    <w:basedOn w:val="DefaultParagraphFont"/>
    <w:semiHidden/>
    <w:rsid w:val="00882A59"/>
    <w:rPr>
      <w:rFonts w:ascii="Times New Roman" w:hAnsi="Times New Roman" w:cs="Times New Roman"/>
      <w:color w:val="800080"/>
      <w:u w:val="single"/>
    </w:rPr>
  </w:style>
  <w:style w:type="paragraph" w:styleId="BalloonText">
    <w:name w:val="Balloon Text"/>
    <w:basedOn w:val="Normal"/>
    <w:rsid w:val="00882A59"/>
    <w:pPr>
      <w:spacing w:before="0"/>
    </w:pPr>
    <w:rPr>
      <w:rFonts w:ascii="Tahoma" w:hAnsi="Tahoma" w:cs="Tahoma"/>
      <w:sz w:val="16"/>
      <w:szCs w:val="16"/>
    </w:rPr>
  </w:style>
  <w:style w:type="character" w:customStyle="1" w:styleId="BalloonTextChar">
    <w:name w:val="Balloon Text Char"/>
    <w:basedOn w:val="DefaultParagraphFont"/>
    <w:rsid w:val="00882A59"/>
    <w:rPr>
      <w:rFonts w:ascii="Tahoma" w:hAnsi="Tahoma" w:cs="Tahoma"/>
      <w:sz w:val="16"/>
      <w:szCs w:val="16"/>
      <w:lang w:val="en-US" w:eastAsia="en-US"/>
    </w:rPr>
  </w:style>
  <w:style w:type="paragraph" w:customStyle="1" w:styleId="clause">
    <w:name w:val="clause"/>
    <w:basedOn w:val="Normal"/>
    <w:rsid w:val="00882A59"/>
    <w:pPr>
      <w:spacing w:before="100" w:beforeAutospacing="1" w:after="100" w:afterAutospacing="1"/>
    </w:pPr>
    <w:rPr>
      <w:rFonts w:ascii="Times New Roman" w:eastAsia="SimSun" w:hAnsi="Times New Roman" w:cs="Times New Roman"/>
      <w:sz w:val="24"/>
      <w:lang w:val="en-GB" w:eastAsia="zh-CN"/>
    </w:rPr>
  </w:style>
  <w:style w:type="character" w:styleId="Strong">
    <w:name w:val="Strong"/>
    <w:basedOn w:val="DefaultParagraphFont"/>
    <w:qFormat/>
    <w:rsid w:val="00882A59"/>
    <w:rPr>
      <w:rFonts w:ascii="Arial Bold" w:hAnsi="Arial Bold" w:cs="Times New Roman"/>
      <w:b/>
      <w:bCs/>
      <w:sz w:val="20"/>
    </w:rPr>
  </w:style>
  <w:style w:type="paragraph" w:styleId="BodyText2">
    <w:name w:val="Body Text 2"/>
    <w:basedOn w:val="Normal"/>
    <w:semiHidden/>
    <w:rsid w:val="00882A59"/>
    <w:rPr>
      <w:color w:val="333333"/>
    </w:rPr>
  </w:style>
  <w:style w:type="paragraph" w:styleId="ListParagraph">
    <w:name w:val="List Paragraph"/>
    <w:basedOn w:val="Normal"/>
    <w:uiPriority w:val="34"/>
    <w:qFormat/>
    <w:rsid w:val="00BC1BAA"/>
    <w:pPr>
      <w:ind w:left="720"/>
      <w:contextualSpacing/>
    </w:pPr>
  </w:style>
  <w:style w:type="character" w:customStyle="1" w:styleId="Heading2Char">
    <w:name w:val="Heading 2 Char"/>
    <w:basedOn w:val="DefaultParagraphFont"/>
    <w:link w:val="Heading2"/>
    <w:uiPriority w:val="99"/>
    <w:rsid w:val="006623E6"/>
    <w:rPr>
      <w:rFonts w:ascii="Arial Bold" w:hAnsi="Arial Bold" w:cs="Arial"/>
      <w:b/>
      <w:bCs/>
      <w:iCs/>
      <w:color w:val="404040" w:themeColor="text1" w:themeTint="BF"/>
      <w:sz w:val="24"/>
      <w:szCs w:val="28"/>
      <w:lang w:eastAsia="en-US"/>
    </w:rPr>
  </w:style>
  <w:style w:type="character" w:customStyle="1" w:styleId="BodyTextChar">
    <w:name w:val="Body Text Char"/>
    <w:basedOn w:val="DefaultParagraphFont"/>
    <w:link w:val="BodyText"/>
    <w:uiPriority w:val="99"/>
    <w:semiHidden/>
    <w:rsid w:val="00085545"/>
    <w:rPr>
      <w:rFonts w:ascii="Arial" w:hAnsi="Arial" w:cs="Arial"/>
      <w:i/>
      <w:iCs/>
      <w:sz w:val="22"/>
      <w:szCs w:val="24"/>
      <w:lang w:eastAsia="en-US"/>
    </w:rPr>
  </w:style>
  <w:style w:type="paragraph" w:styleId="NormalWeb">
    <w:name w:val="Normal (Web)"/>
    <w:basedOn w:val="Normal"/>
    <w:uiPriority w:val="99"/>
    <w:unhideWhenUsed/>
    <w:rsid w:val="004063B9"/>
    <w:pPr>
      <w:spacing w:before="100" w:beforeAutospacing="1" w:after="100" w:afterAutospacing="1"/>
    </w:pPr>
    <w:rPr>
      <w:rFonts w:ascii="Times New Roman" w:hAnsi="Times New Roman" w:cs="Times New Roman"/>
      <w:sz w:val="24"/>
    </w:rPr>
  </w:style>
  <w:style w:type="table" w:styleId="MediumShading1-Accent6">
    <w:name w:val="Medium Shading 1 Accent 6"/>
    <w:basedOn w:val="TableNormal"/>
    <w:uiPriority w:val="63"/>
    <w:rsid w:val="004063B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AE2F0A"/>
    <w:rPr>
      <w:rFonts w:ascii="Arial" w:hAnsi="Arial" w:cs="Arial"/>
      <w:sz w:val="22"/>
      <w:szCs w:val="24"/>
      <w:lang w:eastAsia="en-US"/>
    </w:rPr>
  </w:style>
  <w:style w:type="table" w:styleId="TableGrid">
    <w:name w:val="Table Grid"/>
    <w:basedOn w:val="TableNormal"/>
    <w:uiPriority w:val="59"/>
    <w:rsid w:val="00AE2F0A"/>
    <w:rPr>
      <w:rFonts w:asciiTheme="minorHAnsi" w:eastAsiaTheme="minorHAnsi" w:hAnsiTheme="minorHAnsi" w:cstheme="minorBidi"/>
      <w:sz w:val="22"/>
      <w:szCs w:val="22"/>
      <w:lang w:val="en-GB"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C4F71"/>
    <w:rPr>
      <w:rFonts w:ascii="Arial" w:hAnsi="Arial"/>
      <w:b/>
      <w:iCs/>
      <w:color w:val="404040" w:themeColor="text1" w:themeTint="BF"/>
      <w:sz w:val="22"/>
    </w:rPr>
  </w:style>
  <w:style w:type="table" w:styleId="MediumShading2-Accent2">
    <w:name w:val="Medium Shading 2 Accent 2"/>
    <w:basedOn w:val="TableNormal"/>
    <w:uiPriority w:val="64"/>
    <w:rsid w:val="00AA7D5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DefaultParagraphFont"/>
    <w:rsid w:val="0051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61423">
      <w:bodyDiv w:val="1"/>
      <w:marLeft w:val="0"/>
      <w:marRight w:val="0"/>
      <w:marTop w:val="0"/>
      <w:marBottom w:val="0"/>
      <w:divBdr>
        <w:top w:val="none" w:sz="0" w:space="0" w:color="auto"/>
        <w:left w:val="none" w:sz="0" w:space="0" w:color="auto"/>
        <w:bottom w:val="none" w:sz="0" w:space="0" w:color="auto"/>
        <w:right w:val="none" w:sz="0" w:space="0" w:color="auto"/>
      </w:divBdr>
    </w:div>
    <w:div w:id="863329045">
      <w:bodyDiv w:val="1"/>
      <w:marLeft w:val="0"/>
      <w:marRight w:val="0"/>
      <w:marTop w:val="0"/>
      <w:marBottom w:val="0"/>
      <w:divBdr>
        <w:top w:val="none" w:sz="0" w:space="0" w:color="auto"/>
        <w:left w:val="none" w:sz="0" w:space="0" w:color="auto"/>
        <w:bottom w:val="none" w:sz="0" w:space="0" w:color="auto"/>
        <w:right w:val="none" w:sz="0" w:space="0" w:color="auto"/>
      </w:divBdr>
    </w:div>
    <w:div w:id="1327981271">
      <w:bodyDiv w:val="1"/>
      <w:marLeft w:val="0"/>
      <w:marRight w:val="0"/>
      <w:marTop w:val="0"/>
      <w:marBottom w:val="0"/>
      <w:divBdr>
        <w:top w:val="none" w:sz="0" w:space="0" w:color="auto"/>
        <w:left w:val="none" w:sz="0" w:space="0" w:color="auto"/>
        <w:bottom w:val="none" w:sz="0" w:space="0" w:color="auto"/>
        <w:right w:val="none" w:sz="0" w:space="0" w:color="auto"/>
      </w:divBdr>
    </w:div>
    <w:div w:id="1771658896">
      <w:bodyDiv w:val="1"/>
      <w:marLeft w:val="0"/>
      <w:marRight w:val="0"/>
      <w:marTop w:val="0"/>
      <w:marBottom w:val="0"/>
      <w:divBdr>
        <w:top w:val="none" w:sz="0" w:space="0" w:color="auto"/>
        <w:left w:val="none" w:sz="0" w:space="0" w:color="auto"/>
        <w:bottom w:val="none" w:sz="0" w:space="0" w:color="auto"/>
        <w:right w:val="none" w:sz="0" w:space="0" w:color="auto"/>
      </w:divBdr>
    </w:div>
    <w:div w:id="18077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Garton@telventdtn.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Bryan.McPadden@telventdtn.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6F0F9-B046-40E3-91A9-0B36866B1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2890</Words>
  <Characters>16161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PIDX Right to Lift</vt:lpstr>
    </vt:vector>
  </TitlesOfParts>
  <Company>Registered Company</Company>
  <LinksUpToDate>false</LinksUpToDate>
  <CharactersWithSpaces>19013</CharactersWithSpaces>
  <SharedDoc>false</SharedDoc>
  <HLinks>
    <vt:vector size="144" baseType="variant">
      <vt:variant>
        <vt:i4>1441855</vt:i4>
      </vt:variant>
      <vt:variant>
        <vt:i4>134</vt:i4>
      </vt:variant>
      <vt:variant>
        <vt:i4>0</vt:i4>
      </vt:variant>
      <vt:variant>
        <vt:i4>5</vt:i4>
      </vt:variant>
      <vt:variant>
        <vt:lpwstr/>
      </vt:variant>
      <vt:variant>
        <vt:lpwstr>_Toc266291240</vt:lpwstr>
      </vt:variant>
      <vt:variant>
        <vt:i4>1114175</vt:i4>
      </vt:variant>
      <vt:variant>
        <vt:i4>128</vt:i4>
      </vt:variant>
      <vt:variant>
        <vt:i4>0</vt:i4>
      </vt:variant>
      <vt:variant>
        <vt:i4>5</vt:i4>
      </vt:variant>
      <vt:variant>
        <vt:lpwstr/>
      </vt:variant>
      <vt:variant>
        <vt:lpwstr>_Toc266291239</vt:lpwstr>
      </vt:variant>
      <vt:variant>
        <vt:i4>1114175</vt:i4>
      </vt:variant>
      <vt:variant>
        <vt:i4>122</vt:i4>
      </vt:variant>
      <vt:variant>
        <vt:i4>0</vt:i4>
      </vt:variant>
      <vt:variant>
        <vt:i4>5</vt:i4>
      </vt:variant>
      <vt:variant>
        <vt:lpwstr/>
      </vt:variant>
      <vt:variant>
        <vt:lpwstr>_Toc266291238</vt:lpwstr>
      </vt:variant>
      <vt:variant>
        <vt:i4>1114175</vt:i4>
      </vt:variant>
      <vt:variant>
        <vt:i4>116</vt:i4>
      </vt:variant>
      <vt:variant>
        <vt:i4>0</vt:i4>
      </vt:variant>
      <vt:variant>
        <vt:i4>5</vt:i4>
      </vt:variant>
      <vt:variant>
        <vt:lpwstr/>
      </vt:variant>
      <vt:variant>
        <vt:lpwstr>_Toc266291237</vt:lpwstr>
      </vt:variant>
      <vt:variant>
        <vt:i4>1114175</vt:i4>
      </vt:variant>
      <vt:variant>
        <vt:i4>110</vt:i4>
      </vt:variant>
      <vt:variant>
        <vt:i4>0</vt:i4>
      </vt:variant>
      <vt:variant>
        <vt:i4>5</vt:i4>
      </vt:variant>
      <vt:variant>
        <vt:lpwstr/>
      </vt:variant>
      <vt:variant>
        <vt:lpwstr>_Toc266291236</vt:lpwstr>
      </vt:variant>
      <vt:variant>
        <vt:i4>1114175</vt:i4>
      </vt:variant>
      <vt:variant>
        <vt:i4>104</vt:i4>
      </vt:variant>
      <vt:variant>
        <vt:i4>0</vt:i4>
      </vt:variant>
      <vt:variant>
        <vt:i4>5</vt:i4>
      </vt:variant>
      <vt:variant>
        <vt:lpwstr/>
      </vt:variant>
      <vt:variant>
        <vt:lpwstr>_Toc266291235</vt:lpwstr>
      </vt:variant>
      <vt:variant>
        <vt:i4>1114175</vt:i4>
      </vt:variant>
      <vt:variant>
        <vt:i4>98</vt:i4>
      </vt:variant>
      <vt:variant>
        <vt:i4>0</vt:i4>
      </vt:variant>
      <vt:variant>
        <vt:i4>5</vt:i4>
      </vt:variant>
      <vt:variant>
        <vt:lpwstr/>
      </vt:variant>
      <vt:variant>
        <vt:lpwstr>_Toc266291234</vt:lpwstr>
      </vt:variant>
      <vt:variant>
        <vt:i4>1114175</vt:i4>
      </vt:variant>
      <vt:variant>
        <vt:i4>92</vt:i4>
      </vt:variant>
      <vt:variant>
        <vt:i4>0</vt:i4>
      </vt:variant>
      <vt:variant>
        <vt:i4>5</vt:i4>
      </vt:variant>
      <vt:variant>
        <vt:lpwstr/>
      </vt:variant>
      <vt:variant>
        <vt:lpwstr>_Toc266291233</vt:lpwstr>
      </vt:variant>
      <vt:variant>
        <vt:i4>1114175</vt:i4>
      </vt:variant>
      <vt:variant>
        <vt:i4>86</vt:i4>
      </vt:variant>
      <vt:variant>
        <vt:i4>0</vt:i4>
      </vt:variant>
      <vt:variant>
        <vt:i4>5</vt:i4>
      </vt:variant>
      <vt:variant>
        <vt:lpwstr/>
      </vt:variant>
      <vt:variant>
        <vt:lpwstr>_Toc266291232</vt:lpwstr>
      </vt:variant>
      <vt:variant>
        <vt:i4>1114175</vt:i4>
      </vt:variant>
      <vt:variant>
        <vt:i4>80</vt:i4>
      </vt:variant>
      <vt:variant>
        <vt:i4>0</vt:i4>
      </vt:variant>
      <vt:variant>
        <vt:i4>5</vt:i4>
      </vt:variant>
      <vt:variant>
        <vt:lpwstr/>
      </vt:variant>
      <vt:variant>
        <vt:lpwstr>_Toc266291231</vt:lpwstr>
      </vt:variant>
      <vt:variant>
        <vt:i4>1114175</vt:i4>
      </vt:variant>
      <vt:variant>
        <vt:i4>74</vt:i4>
      </vt:variant>
      <vt:variant>
        <vt:i4>0</vt:i4>
      </vt:variant>
      <vt:variant>
        <vt:i4>5</vt:i4>
      </vt:variant>
      <vt:variant>
        <vt:lpwstr/>
      </vt:variant>
      <vt:variant>
        <vt:lpwstr>_Toc266291230</vt:lpwstr>
      </vt:variant>
      <vt:variant>
        <vt:i4>1048639</vt:i4>
      </vt:variant>
      <vt:variant>
        <vt:i4>68</vt:i4>
      </vt:variant>
      <vt:variant>
        <vt:i4>0</vt:i4>
      </vt:variant>
      <vt:variant>
        <vt:i4>5</vt:i4>
      </vt:variant>
      <vt:variant>
        <vt:lpwstr/>
      </vt:variant>
      <vt:variant>
        <vt:lpwstr>_Toc266291229</vt:lpwstr>
      </vt:variant>
      <vt:variant>
        <vt:i4>1048639</vt:i4>
      </vt:variant>
      <vt:variant>
        <vt:i4>62</vt:i4>
      </vt:variant>
      <vt:variant>
        <vt:i4>0</vt:i4>
      </vt:variant>
      <vt:variant>
        <vt:i4>5</vt:i4>
      </vt:variant>
      <vt:variant>
        <vt:lpwstr/>
      </vt:variant>
      <vt:variant>
        <vt:lpwstr>_Toc266291228</vt:lpwstr>
      </vt:variant>
      <vt:variant>
        <vt:i4>1048639</vt:i4>
      </vt:variant>
      <vt:variant>
        <vt:i4>56</vt:i4>
      </vt:variant>
      <vt:variant>
        <vt:i4>0</vt:i4>
      </vt:variant>
      <vt:variant>
        <vt:i4>5</vt:i4>
      </vt:variant>
      <vt:variant>
        <vt:lpwstr/>
      </vt:variant>
      <vt:variant>
        <vt:lpwstr>_Toc266291227</vt:lpwstr>
      </vt:variant>
      <vt:variant>
        <vt:i4>1048639</vt:i4>
      </vt:variant>
      <vt:variant>
        <vt:i4>50</vt:i4>
      </vt:variant>
      <vt:variant>
        <vt:i4>0</vt:i4>
      </vt:variant>
      <vt:variant>
        <vt:i4>5</vt:i4>
      </vt:variant>
      <vt:variant>
        <vt:lpwstr/>
      </vt:variant>
      <vt:variant>
        <vt:lpwstr>_Toc266291226</vt:lpwstr>
      </vt:variant>
      <vt:variant>
        <vt:i4>1048639</vt:i4>
      </vt:variant>
      <vt:variant>
        <vt:i4>44</vt:i4>
      </vt:variant>
      <vt:variant>
        <vt:i4>0</vt:i4>
      </vt:variant>
      <vt:variant>
        <vt:i4>5</vt:i4>
      </vt:variant>
      <vt:variant>
        <vt:lpwstr/>
      </vt:variant>
      <vt:variant>
        <vt:lpwstr>_Toc266291225</vt:lpwstr>
      </vt:variant>
      <vt:variant>
        <vt:i4>1048639</vt:i4>
      </vt:variant>
      <vt:variant>
        <vt:i4>38</vt:i4>
      </vt:variant>
      <vt:variant>
        <vt:i4>0</vt:i4>
      </vt:variant>
      <vt:variant>
        <vt:i4>5</vt:i4>
      </vt:variant>
      <vt:variant>
        <vt:lpwstr/>
      </vt:variant>
      <vt:variant>
        <vt:lpwstr>_Toc266291224</vt:lpwstr>
      </vt:variant>
      <vt:variant>
        <vt:i4>1048639</vt:i4>
      </vt:variant>
      <vt:variant>
        <vt:i4>32</vt:i4>
      </vt:variant>
      <vt:variant>
        <vt:i4>0</vt:i4>
      </vt:variant>
      <vt:variant>
        <vt:i4>5</vt:i4>
      </vt:variant>
      <vt:variant>
        <vt:lpwstr/>
      </vt:variant>
      <vt:variant>
        <vt:lpwstr>_Toc266291223</vt:lpwstr>
      </vt:variant>
      <vt:variant>
        <vt:i4>1048639</vt:i4>
      </vt:variant>
      <vt:variant>
        <vt:i4>26</vt:i4>
      </vt:variant>
      <vt:variant>
        <vt:i4>0</vt:i4>
      </vt:variant>
      <vt:variant>
        <vt:i4>5</vt:i4>
      </vt:variant>
      <vt:variant>
        <vt:lpwstr/>
      </vt:variant>
      <vt:variant>
        <vt:lpwstr>_Toc266291222</vt:lpwstr>
      </vt:variant>
      <vt:variant>
        <vt:i4>1048639</vt:i4>
      </vt:variant>
      <vt:variant>
        <vt:i4>20</vt:i4>
      </vt:variant>
      <vt:variant>
        <vt:i4>0</vt:i4>
      </vt:variant>
      <vt:variant>
        <vt:i4>5</vt:i4>
      </vt:variant>
      <vt:variant>
        <vt:lpwstr/>
      </vt:variant>
      <vt:variant>
        <vt:lpwstr>_Toc266291221</vt:lpwstr>
      </vt:variant>
      <vt:variant>
        <vt:i4>1048639</vt:i4>
      </vt:variant>
      <vt:variant>
        <vt:i4>14</vt:i4>
      </vt:variant>
      <vt:variant>
        <vt:i4>0</vt:i4>
      </vt:variant>
      <vt:variant>
        <vt:i4>5</vt:i4>
      </vt:variant>
      <vt:variant>
        <vt:lpwstr/>
      </vt:variant>
      <vt:variant>
        <vt:lpwstr>_Toc266291220</vt:lpwstr>
      </vt:variant>
      <vt:variant>
        <vt:i4>1245247</vt:i4>
      </vt:variant>
      <vt:variant>
        <vt:i4>8</vt:i4>
      </vt:variant>
      <vt:variant>
        <vt:i4>0</vt:i4>
      </vt:variant>
      <vt:variant>
        <vt:i4>5</vt:i4>
      </vt:variant>
      <vt:variant>
        <vt:lpwstr/>
      </vt:variant>
      <vt:variant>
        <vt:lpwstr>_Toc266291219</vt:lpwstr>
      </vt:variant>
      <vt:variant>
        <vt:i4>589927</vt:i4>
      </vt:variant>
      <vt:variant>
        <vt:i4>3</vt:i4>
      </vt:variant>
      <vt:variant>
        <vt:i4>0</vt:i4>
      </vt:variant>
      <vt:variant>
        <vt:i4>5</vt:i4>
      </vt:variant>
      <vt:variant>
        <vt:lpwstr>mailto:Bradley.Currin@shell.com</vt:lpwstr>
      </vt:variant>
      <vt:variant>
        <vt:lpwstr/>
      </vt:variant>
      <vt:variant>
        <vt:i4>6029366</vt:i4>
      </vt:variant>
      <vt:variant>
        <vt:i4>0</vt:i4>
      </vt:variant>
      <vt:variant>
        <vt:i4>0</vt:i4>
      </vt:variant>
      <vt:variant>
        <vt:i4>5</vt:i4>
      </vt:variant>
      <vt:variant>
        <vt:lpwstr>mailto:Jeroen.Ravelli@shell.com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PIDX Right to Lift</dc:title>
  <dc:creator>Bryan McPadden;Mark Garton</dc:creator>
  <cp:lastModifiedBy>Bryan</cp:lastModifiedBy>
  <cp:revision>8</cp:revision>
  <cp:lastPrinted>2010-07-07T16:37:00Z</cp:lastPrinted>
  <dcterms:created xsi:type="dcterms:W3CDTF">2012-12-03T22:10:00Z</dcterms:created>
  <dcterms:modified xsi:type="dcterms:W3CDTF">2013-08-21T14:03:00Z</dcterms:modified>
</cp:coreProperties>
</file>